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E6349">
      <w:pPr>
        <w:pStyle w:val="2"/>
        <w:widowControl w:val="0"/>
        <w:ind w:firstLine="0"/>
        <w:rPr>
          <w:rFonts w:ascii="Times New Roman" w:hAnsi="Times New Roman" w:eastAsia="楷体"/>
          <w:b/>
          <w:sz w:val="28"/>
          <w:szCs w:val="28"/>
        </w:rPr>
      </w:pPr>
      <w:r>
        <w:rPr>
          <w:rFonts w:ascii="Times New Roman" w:hAnsi="Times New Roman" w:eastAsia="楷体"/>
          <w:b/>
          <w:smallCaps w:val="0"/>
          <w:sz w:val="28"/>
          <w:szCs w:val="28"/>
        </w:rPr>
        <w:t>（</w:t>
      </w:r>
      <w:r>
        <w:rPr>
          <w:rFonts w:ascii="Times New Roman" w:hAnsi="Times New Roman" w:eastAsia="楷体"/>
          <w:b/>
          <w:smallCaps w:val="0"/>
          <w:sz w:val="28"/>
          <w:szCs w:val="28"/>
          <w:lang w:val="en-US"/>
        </w:rPr>
        <w:t>071009</w:t>
      </w:r>
      <w:r>
        <w:rPr>
          <w:rFonts w:ascii="Times New Roman" w:hAnsi="Times New Roman" w:eastAsia="楷体"/>
          <w:b/>
          <w:smallCaps w:val="0"/>
          <w:sz w:val="28"/>
          <w:szCs w:val="28"/>
        </w:rPr>
        <w:t>）细胞生物学（全日制）</w:t>
      </w:r>
    </w:p>
    <w:p w14:paraId="541804A4">
      <w:pPr>
        <w:pStyle w:val="2"/>
        <w:widowControl w:val="0"/>
        <w:ind w:firstLine="0"/>
        <w:rPr>
          <w:rFonts w:ascii="Times New Roman" w:hAnsi="Times New Roman" w:eastAsia="楷体"/>
          <w:b/>
          <w:sz w:val="28"/>
          <w:szCs w:val="28"/>
        </w:rPr>
      </w:pPr>
      <w:r>
        <w:rPr>
          <w:rFonts w:ascii="Times New Roman" w:hAnsi="Times New Roman" w:eastAsia="楷体"/>
          <w:b/>
          <w:sz w:val="28"/>
          <w:szCs w:val="28"/>
        </w:rPr>
        <w:t>（学制4年，授予</w:t>
      </w:r>
      <w:r>
        <w:rPr>
          <w:rFonts w:ascii="Times New Roman" w:hAnsi="Times New Roman" w:eastAsia="楷体"/>
          <w:b/>
          <w:sz w:val="28"/>
          <w:szCs w:val="28"/>
          <w:lang w:val="en-US"/>
        </w:rPr>
        <w:t>理学</w:t>
      </w:r>
      <w:r>
        <w:rPr>
          <w:rFonts w:ascii="Times New Roman" w:hAnsi="Times New Roman" w:eastAsia="楷体"/>
          <w:b/>
          <w:sz w:val="28"/>
          <w:szCs w:val="28"/>
        </w:rPr>
        <w:t>博士学位）</w:t>
      </w:r>
    </w:p>
    <w:p w14:paraId="48140AEF">
      <w:pPr>
        <w:widowControl w:val="0"/>
        <w:topLinePunct/>
        <w:spacing w:before="312" w:beforeLines="10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一、培养目标</w:t>
      </w:r>
    </w:p>
    <w:p w14:paraId="2A129913">
      <w:pPr>
        <w:ind w:firstLine="545" w:firstLineChars="248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color w:val="000000"/>
          <w:szCs w:val="21"/>
          <w:lang w:eastAsia="zh-CN"/>
        </w:rPr>
        <w:t>细胞生物学是生命科学的重要基础学科，主要研究细胞的结构与功能、细胞重要生命活动等内容。本学科主要培养我国社会主义建设需要的德、智、体全面发展的细胞生物学高级专门人才。</w:t>
      </w:r>
    </w:p>
    <w:p w14:paraId="3EA8E111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二、主要研究方向</w:t>
      </w:r>
    </w:p>
    <w:p w14:paraId="31C43A9C">
      <w:pPr>
        <w:pStyle w:val="8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1．生物膜结构与功能</w:t>
      </w:r>
    </w:p>
    <w:p w14:paraId="0FD1CB42">
      <w:pPr>
        <w:pStyle w:val="8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2．细胞骨架与疾病</w:t>
      </w:r>
    </w:p>
    <w:p w14:paraId="3EF973B4">
      <w:pPr>
        <w:pStyle w:val="8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3．细胞命运调控</w:t>
      </w:r>
    </w:p>
    <w:p w14:paraId="56EBD78F">
      <w:pPr>
        <w:pStyle w:val="8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4．干细胞与发育生物学</w:t>
      </w:r>
    </w:p>
    <w:p w14:paraId="128C03DF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三、培养方式</w:t>
      </w:r>
    </w:p>
    <w:p w14:paraId="0995A22C">
      <w:pPr>
        <w:widowControl w:val="0"/>
        <w:topLinePunct/>
        <w:spacing w:before="156" w:beforeLines="50"/>
        <w:ind w:firstLine="440" w:firstLineChars="200"/>
        <w:textAlignment w:val="top"/>
        <w:rPr>
          <w:rFonts w:ascii="Times New Roman" w:hAnsi="Times New Roman"/>
          <w:color w:val="000000"/>
          <w:szCs w:val="21"/>
          <w:lang w:eastAsia="zh-CN"/>
        </w:rPr>
      </w:pPr>
      <w:r>
        <w:rPr>
          <w:rFonts w:ascii="Times New Roman" w:hAnsi="Times New Roman"/>
          <w:color w:val="000000"/>
          <w:szCs w:val="21"/>
          <w:lang w:eastAsia="zh-CN"/>
        </w:rPr>
        <w:t>博士研究生培养实行导师负责制，为充分发挥学术群体的作用，同时建立以导师为主的研究生培养指导小组（不少于3人组成），由导师和指导小组全面负责研究生的培养工作。在培养过程中注意充分发挥研究生的主动性和自觉性，可采用研讨式的教学方式。</w:t>
      </w:r>
    </w:p>
    <w:p w14:paraId="627604C0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四、学制及修业年限</w:t>
      </w:r>
    </w:p>
    <w:p w14:paraId="7D37B898">
      <w:pPr>
        <w:widowControl w:val="0"/>
        <w:topLinePunct/>
        <w:ind w:firstLine="440" w:firstLineChars="20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本专业博士研究生学制为4年，最长修业年限为基本修业年限延长2年。</w:t>
      </w:r>
    </w:p>
    <w:p w14:paraId="5ED15838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五、课程设置及学分要求</w:t>
      </w:r>
    </w:p>
    <w:p w14:paraId="774413AA">
      <w:pPr>
        <w:spacing w:line="240" w:lineRule="auto"/>
        <w:ind w:firstLine="0"/>
        <w:rPr>
          <w:rFonts w:ascii="Times New Roman" w:hAnsi="Times New Roman"/>
          <w:b/>
          <w:bCs/>
          <w:spacing w:val="5"/>
          <w:sz w:val="24"/>
          <w:szCs w:val="24"/>
          <w:lang w:val="zh-CN" w:eastAsia="zh-CN"/>
        </w:rPr>
      </w:pPr>
      <w:r>
        <w:rPr>
          <w:rFonts w:ascii="Times New Roman" w:hAnsi="Times New Roman"/>
          <w:lang w:eastAsia="zh-CN"/>
        </w:rPr>
        <w:br w:type="page"/>
      </w:r>
    </w:p>
    <w:p w14:paraId="24E42BC1">
      <w:pPr>
        <w:pStyle w:val="3"/>
        <w:spacing w:before="240" w:after="120"/>
        <w:ind w:firstLine="2509" w:firstLineChars="1000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专业培养方案课程设置与学分</w:t>
      </w:r>
      <w:r>
        <w:rPr>
          <w:rFonts w:ascii="Times New Roman" w:hAnsi="Times New Roman"/>
          <w:lang w:val="en-US"/>
        </w:rPr>
        <w:t>要求</w:t>
      </w:r>
    </w:p>
    <w:tbl>
      <w:tblPr>
        <w:tblStyle w:val="6"/>
        <w:tblW w:w="978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2"/>
        <w:gridCol w:w="993"/>
        <w:gridCol w:w="879"/>
        <w:gridCol w:w="1700"/>
        <w:gridCol w:w="256"/>
        <w:gridCol w:w="850"/>
        <w:gridCol w:w="882"/>
        <w:gridCol w:w="199"/>
        <w:gridCol w:w="1061"/>
        <w:gridCol w:w="643"/>
        <w:gridCol w:w="260"/>
        <w:gridCol w:w="1506"/>
      </w:tblGrid>
      <w:tr w14:paraId="050DA6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52" w:type="dxa"/>
            <w:shd w:val="clear" w:color="auto" w:fill="auto"/>
            <w:vAlign w:val="center"/>
          </w:tcPr>
          <w:p w14:paraId="49A6418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类别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37965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课程编码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048C665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CFC62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总学时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C8FD39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D4BAFB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授课学期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73FFB79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授课方式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B59D43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开课单位代码</w:t>
            </w:r>
          </w:p>
        </w:tc>
      </w:tr>
      <w:tr w14:paraId="6D3E2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restart"/>
            <w:shd w:val="clear" w:color="auto" w:fill="auto"/>
            <w:vAlign w:val="center"/>
          </w:tcPr>
          <w:p w14:paraId="5C23AF5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必</w:t>
            </w:r>
          </w:p>
          <w:p w14:paraId="019E241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14:paraId="3A47F26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9BBA1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900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  <w:lang w:eastAsia="zh-CN"/>
              </w:rPr>
              <w:t>203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48B57DC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中国马克思主义与当代（理科）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2B5EC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D2CF0E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8C2569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159EE03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0E3C01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14:paraId="5DD605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2E89611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BBCB25C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900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110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0326A59A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第一外国语（英语）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337BD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AC8416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7E0108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1、2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340FF44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BF7D80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14:paraId="0BB34F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4781CDE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896DE12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90051001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15ACEE03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科研伦理与学术规范类课程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F6044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E22295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C5FD7A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1、2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0A0C29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线上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492B0E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14:paraId="3BF599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1A3868E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F5E207F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0602227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2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02B171C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研究生学术论文写作指导（博士）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4FE2C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17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BF2D69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750FD2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782B195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讲授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E668DA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060</w:t>
            </w:r>
          </w:p>
        </w:tc>
      </w:tr>
      <w:tr w14:paraId="3ED95E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48A7C90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F620B02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06021202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3A923A66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文献综述与开题报告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D8FEE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896C24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252394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66B5F9B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报告与讨论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1F9B94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115461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4F096D3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F0395F4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06011205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21217B67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细胞生物学研讨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45A6E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1C79A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E6EA3F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387894E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F752B8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7B5619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8B5593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5E2E52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602227</w:t>
            </w: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7F573BA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生物实验安全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AD198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163560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AAE2A8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3117B34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4E92F2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60</w:t>
            </w:r>
          </w:p>
        </w:tc>
      </w:tr>
      <w:tr w14:paraId="448320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992959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选</w:t>
            </w:r>
          </w:p>
          <w:p w14:paraId="66D2543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14:paraId="49BE290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99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B097A0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568AF5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第二外国语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956C4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358711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4C20F2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1、2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28A5C963">
            <w:pPr>
              <w:widowControl w:val="0"/>
              <w:spacing w:line="240" w:lineRule="auto"/>
              <w:ind w:left="-46" w:leftChars="-21" w:firstLine="52" w:firstLineChars="24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5A90A97">
            <w:pPr>
              <w:widowControl w:val="0"/>
              <w:spacing w:line="240" w:lineRule="auto"/>
              <w:ind w:left="-22"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14:paraId="25EFA5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37DFE93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0BFF11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39DC8FC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体育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36232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CCC53C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766BC6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1、2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6E8575A3">
            <w:pPr>
              <w:widowControl w:val="0"/>
              <w:spacing w:line="240" w:lineRule="auto"/>
              <w:ind w:left="-95" w:leftChars="-43" w:firstLine="52" w:firstLineChars="24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78A7C6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lang w:eastAsia="zh-CN"/>
              </w:rPr>
              <w:t>300</w:t>
            </w:r>
          </w:p>
        </w:tc>
      </w:tr>
      <w:tr w14:paraId="238B78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76F2EB0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E0B55B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90052002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09CAB29B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创新思维与创业实验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B54A3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83513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E63C96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1、2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0372485E">
            <w:pPr>
              <w:widowControl w:val="0"/>
              <w:spacing w:line="240" w:lineRule="auto"/>
              <w:ind w:left="92"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D7E44B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14:paraId="260E4B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24C9181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72BB24D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06011204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17A6E4DB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高级分子遗传学研讨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35D5D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392C40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789D27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11E7CB1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1E0721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1592B6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491713E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2ABF992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06012217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02B12BC2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肿瘤生物学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3F36E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DFC480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45AAAF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799B887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CF9B30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39F78F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1C3AC54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717190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06021203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2469A3F5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生物科学与技术前沿进展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96FA3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91D76F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48C577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1、2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0E22106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讲座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F3509A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55AB39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7048579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736CD8D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06021213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41867AD4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分子细胞生物学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7141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43A810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84702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7BA3696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讲座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006E45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60</w:t>
            </w:r>
          </w:p>
        </w:tc>
      </w:tr>
      <w:tr w14:paraId="772C75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3A7D6F5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3BA079C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06022259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19E5D592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生物学科研究生职业生涯规划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AEDB8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62B2C2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16F302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4BBB8AA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B74A0E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1E290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056B2B6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55E7D8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06022260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29FBA7E3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研究生学术与职业素养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CD1AE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C7701C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865799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648B509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讲授与讨论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90370C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2970EA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5C27A57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DF30B7F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06021213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53A33DBB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分子细胞生物学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B52EC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C7A70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E27893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40EAFFF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305D29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631D3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104F64E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C277BD5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06021212</w:t>
            </w:r>
          </w:p>
        </w:tc>
        <w:tc>
          <w:tcPr>
            <w:tcW w:w="28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77E4F025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模式</w:t>
            </w: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生物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遗传分析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859F8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22DE7A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26F64A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764EAF4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6844FD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14355D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restart"/>
            <w:shd w:val="clear" w:color="auto" w:fill="auto"/>
            <w:vAlign w:val="center"/>
          </w:tcPr>
          <w:p w14:paraId="7E3DF2E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补</w:t>
            </w:r>
          </w:p>
          <w:p w14:paraId="0DC9A83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14:paraId="0E80E75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BF87E4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AA99F1E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16096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115EE86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不</w:t>
            </w:r>
          </w:p>
          <w:p w14:paraId="61503DF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计</w:t>
            </w:r>
          </w:p>
          <w:p w14:paraId="7E1AC89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学</w:t>
            </w:r>
          </w:p>
          <w:p w14:paraId="091D454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613FF8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6FA2454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58B44A4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14:paraId="694254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3B0FB78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1D2DA99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68BCBB17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6BF3D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82" w:type="dxa"/>
            <w:vMerge w:val="continue"/>
            <w:shd w:val="clear" w:color="auto" w:fill="auto"/>
            <w:vAlign w:val="center"/>
          </w:tcPr>
          <w:p w14:paraId="728D8A8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A23116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2E5AB70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0C48C32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14:paraId="12D7BC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613B4E4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027633C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6AA87509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4E6A4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82" w:type="dxa"/>
            <w:vMerge w:val="continue"/>
            <w:shd w:val="clear" w:color="auto" w:fill="auto"/>
            <w:vAlign w:val="center"/>
          </w:tcPr>
          <w:p w14:paraId="3A9B28B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C7600F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19D4EAB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64E5145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14:paraId="745B2E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7BEEBB71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44FE6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67FC9F2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2364E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82" w:type="dxa"/>
            <w:vMerge w:val="continue"/>
            <w:shd w:val="clear" w:color="auto" w:fill="auto"/>
            <w:vAlign w:val="center"/>
          </w:tcPr>
          <w:p w14:paraId="1BFE07C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34BA40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27FE1D3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4EB2725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14:paraId="5F3F70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2" w:type="dxa"/>
            <w:vMerge w:val="continue"/>
            <w:shd w:val="clear" w:color="auto" w:fill="auto"/>
            <w:vAlign w:val="center"/>
          </w:tcPr>
          <w:p w14:paraId="1AD302F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081E7A5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1E53A51A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8A9A3F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82" w:type="dxa"/>
            <w:vMerge w:val="continue"/>
            <w:shd w:val="clear" w:color="auto" w:fill="auto"/>
            <w:vAlign w:val="center"/>
          </w:tcPr>
          <w:p w14:paraId="7D91DFA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2E147F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41D967C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0102752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14:paraId="62C706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9781" w:type="dxa"/>
            <w:gridSpan w:val="12"/>
          </w:tcPr>
          <w:p w14:paraId="7FBF810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本专业毕业学分要求</w:t>
            </w:r>
          </w:p>
        </w:tc>
      </w:tr>
      <w:tr w14:paraId="74389A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424" w:type="dxa"/>
            <w:gridSpan w:val="3"/>
            <w:shd w:val="clear" w:color="auto" w:fill="auto"/>
            <w:vAlign w:val="center"/>
          </w:tcPr>
          <w:p w14:paraId="1ED6498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总学分要求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E1F7BE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校公共必修课</w:t>
            </w:r>
          </w:p>
        </w:tc>
        <w:tc>
          <w:tcPr>
            <w:tcW w:w="2187" w:type="dxa"/>
            <w:gridSpan w:val="4"/>
          </w:tcPr>
          <w:p w14:paraId="76AEB5F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专业必修课</w:t>
            </w: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14:paraId="697040A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专业选修课</w:t>
            </w:r>
          </w:p>
        </w:tc>
        <w:tc>
          <w:tcPr>
            <w:tcW w:w="1766" w:type="dxa"/>
            <w:gridSpan w:val="2"/>
            <w:shd w:val="clear" w:color="auto" w:fill="auto"/>
            <w:vAlign w:val="center"/>
          </w:tcPr>
          <w:p w14:paraId="1E262C8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其他学分</w:t>
            </w:r>
          </w:p>
        </w:tc>
      </w:tr>
      <w:tr w14:paraId="21CEC4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424" w:type="dxa"/>
            <w:gridSpan w:val="3"/>
            <w:shd w:val="clear" w:color="auto" w:fill="auto"/>
            <w:vAlign w:val="center"/>
          </w:tcPr>
          <w:p w14:paraId="6F20B6EE">
            <w:pPr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054FE18">
            <w:pPr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187" w:type="dxa"/>
            <w:gridSpan w:val="4"/>
          </w:tcPr>
          <w:p w14:paraId="4A1D84AD">
            <w:pPr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14:paraId="3BE4050A">
            <w:pPr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66" w:type="dxa"/>
            <w:gridSpan w:val="2"/>
            <w:shd w:val="clear" w:color="auto" w:fill="auto"/>
            <w:vAlign w:val="center"/>
          </w:tcPr>
          <w:p w14:paraId="1901A625">
            <w:pPr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</w:t>
            </w:r>
          </w:p>
        </w:tc>
      </w:tr>
    </w:tbl>
    <w:p w14:paraId="3F19B5A1">
      <w:pPr>
        <w:widowControl w:val="0"/>
        <w:topLinePunct/>
        <w:ind w:firstLine="440" w:firstLineChars="20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bCs/>
          <w:szCs w:val="21"/>
          <w:lang w:eastAsia="zh-CN"/>
        </w:rPr>
        <w:t>说明：体育作为选修课（2学分），不计入研究生完成课程学习所取得的总学分。</w:t>
      </w:r>
    </w:p>
    <w:p w14:paraId="4611678A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六、培养环节</w:t>
      </w:r>
    </w:p>
    <w:p w14:paraId="1BDCDC17">
      <w:pPr>
        <w:widowControl w:val="0"/>
        <w:topLinePunct/>
        <w:ind w:firstLine="440" w:firstLineChars="20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由细胞生物学学科组织，由培养指导小组把关，依据《南开大学研究生学位论文资格考试、开题报告及中期考核管理指导意见</w:t>
      </w:r>
      <w:r>
        <w:rPr>
          <w:rFonts w:hint="eastAsia" w:ascii="Times New Roman" w:hAnsi="Times New Roman"/>
          <w:szCs w:val="21"/>
          <w:lang w:eastAsia="zh-CN"/>
        </w:rPr>
        <w:t>（试行）</w:t>
      </w:r>
      <w:r>
        <w:rPr>
          <w:rFonts w:ascii="Times New Roman" w:hAnsi="Times New Roman"/>
          <w:szCs w:val="21"/>
          <w:lang w:eastAsia="zh-CN"/>
        </w:rPr>
        <w:t>》执行。</w:t>
      </w:r>
    </w:p>
    <w:p w14:paraId="2F7DBD75">
      <w:pPr>
        <w:widowControl w:val="0"/>
        <w:topLinePunct/>
        <w:ind w:firstLine="440" w:firstLineChars="20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1. 资格考试</w:t>
      </w:r>
    </w:p>
    <w:p w14:paraId="619E72EA">
      <w:pPr>
        <w:pStyle w:val="8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博士研究生的资格考试一般在第二学期末进行。</w:t>
      </w:r>
    </w:p>
    <w:p w14:paraId="05E9C2AD">
      <w:pPr>
        <w:widowControl w:val="0"/>
        <w:topLinePunct/>
        <w:ind w:firstLine="440" w:firstLineChars="20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2. 开题报告</w:t>
      </w:r>
    </w:p>
    <w:p w14:paraId="6407B5C3">
      <w:pPr>
        <w:pStyle w:val="8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博士研究生的开题报告一般在第三学期进行。</w:t>
      </w:r>
    </w:p>
    <w:p w14:paraId="6BBA629C">
      <w:pPr>
        <w:pStyle w:val="8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3. </w:t>
      </w:r>
      <w:r>
        <w:rPr>
          <w:rFonts w:ascii="Times New Roman" w:hAnsi="Times New Roman" w:cs="Times New Roman"/>
          <w:szCs w:val="21"/>
          <w:lang w:eastAsia="zh-CN"/>
        </w:rPr>
        <w:t>中期考核</w:t>
      </w:r>
    </w:p>
    <w:p w14:paraId="5B900D72">
      <w:pPr>
        <w:pStyle w:val="8"/>
        <w:tabs>
          <w:tab w:val="left" w:pos="312"/>
        </w:tabs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博士研究生的中期考核一般在第五学期进行。</w:t>
      </w:r>
    </w:p>
    <w:p w14:paraId="224A92B6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七、毕业标准及申请学位成果要求</w:t>
      </w:r>
    </w:p>
    <w:p w14:paraId="3323B8C4">
      <w:pPr>
        <w:widowControl w:val="0"/>
        <w:topLinePunct/>
        <w:ind w:firstLine="440" w:firstLineChars="20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详见《生物学学位评定分委员会学术型博士研究生申请学位成果细则》。</w:t>
      </w:r>
    </w:p>
    <w:p w14:paraId="7500426B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八、学位论文</w:t>
      </w:r>
    </w:p>
    <w:p w14:paraId="2FB4AF28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1. 论文基本要求</w:t>
      </w:r>
    </w:p>
    <w:p w14:paraId="0EB934C0">
      <w:pPr>
        <w:pStyle w:val="8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博士研究生</w:t>
      </w:r>
      <w:r>
        <w:rPr>
          <w:rFonts w:ascii="Times New Roman" w:hAnsi="Times New Roman" w:cs="Times New Roman"/>
          <w:lang w:eastAsia="zh-CN"/>
        </w:rPr>
        <w:t>需在导师指导下，完成10万字左右的</w:t>
      </w:r>
      <w:r>
        <w:rPr>
          <w:rFonts w:ascii="Times New Roman" w:hAnsi="Times New Roman" w:cs="Times New Roman"/>
          <w:color w:val="auto"/>
          <w:lang w:eastAsia="zh-CN"/>
        </w:rPr>
        <w:t>学位论文</w:t>
      </w:r>
      <w:r>
        <w:rPr>
          <w:rFonts w:ascii="Times New Roman" w:hAnsi="Times New Roman" w:cs="Times New Roman"/>
          <w:lang w:eastAsia="zh-CN"/>
        </w:rPr>
        <w:t>，由学生所在培养指导小组完成论文检查工作。论文写作详细要求见《南开大学研究生学位论文写作规范（202</w:t>
      </w:r>
      <w:r>
        <w:rPr>
          <w:rFonts w:hint="eastAsia" w:ascii="Times New Roman" w:hAnsi="Times New Roman" w:cs="Times New Roman"/>
          <w:lang w:eastAsia="zh-CN"/>
        </w:rPr>
        <w:t>5</w:t>
      </w:r>
      <w:r>
        <w:rPr>
          <w:rFonts w:ascii="Times New Roman" w:hAnsi="Times New Roman" w:cs="Times New Roman"/>
          <w:lang w:eastAsia="zh-CN"/>
        </w:rPr>
        <w:t>版）》。</w:t>
      </w:r>
    </w:p>
    <w:p w14:paraId="474020D1">
      <w:pPr>
        <w:widowControl w:val="0"/>
        <w:topLinePunct/>
        <w:ind w:left="450" w:firstLine="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2. 论文评阅</w:t>
      </w:r>
    </w:p>
    <w:p w14:paraId="2AC1297D">
      <w:pPr>
        <w:pStyle w:val="8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博士研究生的学位论文在获得导师认可且论文查重率低于10%的情况下，由学院教学培养办公室通过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ascii="Times New Roman" w:hAnsi="Times New Roman" w:cs="Times New Roman"/>
          <w:lang w:eastAsia="zh-CN"/>
        </w:rPr>
        <w:t>教育部学位与研究生教育评估平台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ascii="Times New Roman" w:hAnsi="Times New Roman" w:cs="Times New Roman"/>
          <w:lang w:eastAsia="zh-CN"/>
        </w:rPr>
        <w:t>进行双盲评审，每份论文送至5位平台专家审核（上半年为4月上旬，下半年为10月上旬，具体日期视当年安排）；如果博士生论文查重率高于10%，经导师及学位评定分委员会专家审查，决定是否继续进行答辩流程。</w:t>
      </w:r>
    </w:p>
    <w:p w14:paraId="622F5764">
      <w:pPr>
        <w:widowControl w:val="0"/>
        <w:topLinePunct/>
        <w:ind w:firstLineChars="193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专家评阅意见处理办法，详见</w:t>
      </w:r>
      <w:r>
        <w:rPr>
          <w:rFonts w:hint="eastAsia" w:ascii="Times New Roman" w:hAnsi="Times New Roman"/>
          <w:lang w:eastAsia="zh-CN"/>
        </w:rPr>
        <w:t>《南研字〔2025〕1号 南开大学博士学位论文及实践成果评审工作实施办法》</w:t>
      </w:r>
      <w:r>
        <w:rPr>
          <w:rFonts w:ascii="Times New Roman" w:hAnsi="Times New Roman"/>
          <w:lang w:eastAsia="zh-CN"/>
        </w:rPr>
        <w:t>。</w:t>
      </w:r>
    </w:p>
    <w:p w14:paraId="2F99FFB2">
      <w:pPr>
        <w:widowControl w:val="0"/>
        <w:topLinePunct/>
        <w:ind w:firstLine="440" w:firstLineChars="20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3. 论文答辩</w:t>
      </w:r>
    </w:p>
    <w:p w14:paraId="66F0F564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1"/>
          <w:lang w:eastAsia="zh-CN"/>
        </w:rPr>
        <w:t>博士研究生根据评审专家评阅意见修改论文后进行答辩，要求</w:t>
      </w:r>
      <w:r>
        <w:rPr>
          <w:rFonts w:ascii="Times New Roman" w:hAnsi="Times New Roman"/>
          <w:lang w:eastAsia="zh-CN"/>
        </w:rPr>
        <w:t>详见《博士研究生毕业（学位）论文答辩工作要求》。</w:t>
      </w:r>
    </w:p>
    <w:p w14:paraId="2CDF0639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4. 二次查重</w:t>
      </w:r>
    </w:p>
    <w:p w14:paraId="4CA7A1F8">
      <w:pPr>
        <w:widowControl w:val="0"/>
        <w:topLinePunct/>
        <w:spacing w:before="156" w:beforeLines="50"/>
        <w:ind w:firstLineChars="193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hint="eastAsia" w:ascii="Times New Roman" w:hAnsi="Times New Roman"/>
          <w:szCs w:val="21"/>
          <w:lang w:eastAsia="zh-CN"/>
        </w:rPr>
        <w:t>博士</w:t>
      </w:r>
      <w:r>
        <w:rPr>
          <w:rFonts w:ascii="Times New Roman" w:hAnsi="Times New Roman"/>
          <w:szCs w:val="21"/>
          <w:lang w:eastAsia="zh-CN"/>
        </w:rPr>
        <w:t>研究生根据答辩委员会意见修改论文后，提交研究生院进行二次查重，查重率应低于10%。</w:t>
      </w:r>
    </w:p>
    <w:p w14:paraId="3CC3962E">
      <w:pPr>
        <w:widowControl w:val="0"/>
        <w:topLinePunct/>
        <w:spacing w:before="156" w:beforeLines="50"/>
        <w:ind w:firstLine="426" w:firstLineChars="193"/>
        <w:textAlignment w:val="top"/>
        <w:rPr>
          <w:rFonts w:ascii="Times New Roman" w:hAnsi="Times New Roman"/>
          <w:b/>
          <w:szCs w:val="21"/>
          <w:lang w:eastAsia="zh-CN"/>
        </w:rPr>
      </w:pPr>
    </w:p>
    <w:p w14:paraId="666BF682">
      <w:pPr>
        <w:widowControl w:val="0"/>
        <w:topLinePunct/>
        <w:spacing w:before="156" w:beforeLines="50"/>
        <w:ind w:firstLineChars="193"/>
        <w:textAlignment w:val="top"/>
        <w:rPr>
          <w:rFonts w:ascii="Times New Roman" w:hAnsi="Times New Roman"/>
          <w:szCs w:val="21"/>
          <w:lang w:eastAsia="zh-CN"/>
        </w:rPr>
      </w:pPr>
    </w:p>
    <w:p w14:paraId="3FF6014B">
      <w:pPr>
        <w:ind w:firstLine="0"/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72C"/>
    <w:rsid w:val="000D0267"/>
    <w:rsid w:val="00197706"/>
    <w:rsid w:val="001D4562"/>
    <w:rsid w:val="003E2838"/>
    <w:rsid w:val="00414CDD"/>
    <w:rsid w:val="004F731E"/>
    <w:rsid w:val="0079243F"/>
    <w:rsid w:val="007E76C6"/>
    <w:rsid w:val="008A063E"/>
    <w:rsid w:val="00A6724B"/>
    <w:rsid w:val="00AE62A1"/>
    <w:rsid w:val="00BD30BC"/>
    <w:rsid w:val="00C01928"/>
    <w:rsid w:val="00DA4AB3"/>
    <w:rsid w:val="00E9389C"/>
    <w:rsid w:val="00EB01E4"/>
    <w:rsid w:val="00F1072C"/>
    <w:rsid w:val="00F3508B"/>
    <w:rsid w:val="08007A3F"/>
    <w:rsid w:val="29C1095D"/>
    <w:rsid w:val="2D2E6EDE"/>
    <w:rsid w:val="63EE0FA7"/>
    <w:rsid w:val="7D88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360" w:lineRule="auto"/>
      <w:ind w:firstLine="425"/>
    </w:pPr>
    <w:rPr>
      <w:rFonts w:ascii="Cambria" w:hAnsi="Cambria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eastAsia="黑体"/>
      <w:smallCaps/>
      <w:spacing w:val="5"/>
      <w:sz w:val="36"/>
      <w:szCs w:val="36"/>
      <w:lang w:val="zh-CN" w:eastAsia="zh-CN"/>
    </w:rPr>
  </w:style>
  <w:style w:type="paragraph" w:styleId="3">
    <w:name w:val="heading 4"/>
    <w:basedOn w:val="1"/>
    <w:next w:val="1"/>
    <w:unhideWhenUsed/>
    <w:qFormat/>
    <w:uiPriority w:val="0"/>
    <w:pPr>
      <w:spacing w:line="271" w:lineRule="auto"/>
      <w:outlineLvl w:val="3"/>
    </w:pPr>
    <w:rPr>
      <w:b/>
      <w:bCs/>
      <w:spacing w:val="5"/>
      <w:sz w:val="24"/>
      <w:szCs w:val="24"/>
      <w:lang w:val="zh-CN" w:eastAsia="zh-CN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8">
    <w:name w:val="—样式 正文（正在使用）"/>
    <w:basedOn w:val="1"/>
    <w:qFormat/>
    <w:uiPriority w:val="0"/>
    <w:pPr>
      <w:ind w:firstLine="420" w:firstLineChars="200"/>
    </w:pPr>
    <w:rPr>
      <w:rFonts w:cs="宋体"/>
      <w:color w:val="000000"/>
      <w:szCs w:val="20"/>
    </w:rPr>
  </w:style>
  <w:style w:type="character" w:customStyle="1" w:styleId="9">
    <w:name w:val="页眉 字符"/>
    <w:basedOn w:val="7"/>
    <w:link w:val="5"/>
    <w:qFormat/>
    <w:uiPriority w:val="0"/>
    <w:rPr>
      <w:rFonts w:ascii="Cambria" w:hAnsi="Cambria"/>
      <w:sz w:val="18"/>
      <w:szCs w:val="18"/>
      <w:lang w:eastAsia="en-US"/>
    </w:rPr>
  </w:style>
  <w:style w:type="character" w:customStyle="1" w:styleId="10">
    <w:name w:val="页脚 字符"/>
    <w:basedOn w:val="7"/>
    <w:link w:val="4"/>
    <w:qFormat/>
    <w:uiPriority w:val="0"/>
    <w:rPr>
      <w:rFonts w:ascii="Cambria" w:hAnsi="Cambria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1358</Words>
  <Characters>1549</Characters>
  <Lines>13</Lines>
  <Paragraphs>3</Paragraphs>
  <TotalTime>39</TotalTime>
  <ScaleCrop>false</ScaleCrop>
  <LinksUpToDate>false</LinksUpToDate>
  <CharactersWithSpaces>1557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2025-07-18T03:31:00Z</dcterms:created>
  <dc:creator>syyyyyy的ipad</dc:creator>
  <cp:lastModifiedBy>李至</cp:lastModifiedBy>
  <dcterms:modified xsi:type="dcterms:W3CDTF">2025-09-05T06:33:21Z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8ACD52743376FA215263006891133BD0_31</vt:lpwstr>
  </property>
  <property fmtid="{D5CDD505-2E9C-101B-9397-08002B2CF9AE}" pid="4" name="KSOTemplateDocerSaveRecord">
    <vt:lpwstr>eyJoZGlkIjoiOTI2ZjJkODQxMTExY2RjMDVjZDU4M2JmMGJlODJhMzkiLCJ1c2VySWQiOiIxNjg2NjA2MjcyIn0=</vt:lpwstr>
  </property>
</Properties>
</file>