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102CF">
      <w:pPr>
        <w:pStyle w:val="2"/>
        <w:jc w:val="center"/>
        <w:rPr>
          <w:rFonts w:ascii="Times New Roman" w:hAnsi="Times New Roman" w:eastAsia="楷体"/>
          <w:b w:val="0"/>
          <w:sz w:val="28"/>
          <w:szCs w:val="28"/>
        </w:rPr>
      </w:pPr>
      <w:r>
        <w:rPr>
          <w:rFonts w:ascii="Times New Roman" w:hAnsi="Times New Roman" w:eastAsia="楷体"/>
          <w:sz w:val="28"/>
          <w:szCs w:val="28"/>
        </w:rPr>
        <w:t>（071007）遗传学（全日制）</w:t>
      </w:r>
    </w:p>
    <w:p w14:paraId="6D3599EF">
      <w:pPr>
        <w:pStyle w:val="2"/>
        <w:jc w:val="center"/>
        <w:rPr>
          <w:rFonts w:ascii="Times New Roman" w:hAnsi="Times New Roman" w:eastAsia="楷体"/>
          <w:b w:val="0"/>
          <w:sz w:val="28"/>
          <w:szCs w:val="28"/>
        </w:rPr>
      </w:pPr>
      <w:r>
        <w:rPr>
          <w:rFonts w:ascii="Times New Roman" w:hAnsi="Times New Roman" w:eastAsia="楷体"/>
          <w:sz w:val="28"/>
          <w:szCs w:val="28"/>
        </w:rPr>
        <w:t>（学制4年，授予理学博士学位）</w:t>
      </w:r>
    </w:p>
    <w:p w14:paraId="3C5F64C1">
      <w:pPr>
        <w:topLinePunct/>
        <w:spacing w:before="312" w:beforeLines="100" w:line="360" w:lineRule="auto"/>
        <w:ind w:firstLine="442" w:firstLineChars="200"/>
        <w:textAlignment w:val="top"/>
        <w:rPr>
          <w:rFonts w:ascii="Times New Roman" w:hAnsi="Times New Roman" w:eastAsia="宋体" w:cs="Times New Roman"/>
          <w:b/>
          <w:bCs/>
          <w:color w:val="000000"/>
          <w:kern w:val="0"/>
          <w:sz w:val="22"/>
          <w:szCs w:val="20"/>
        </w:rPr>
      </w:pPr>
      <w:r>
        <w:rPr>
          <w:rFonts w:ascii="Times New Roman" w:hAnsi="Times New Roman" w:eastAsia="宋体" w:cs="Times New Roman"/>
          <w:b/>
          <w:bCs/>
          <w:color w:val="000000"/>
          <w:kern w:val="0"/>
          <w:sz w:val="22"/>
          <w:szCs w:val="20"/>
        </w:rPr>
        <w:t>一、培养目标</w:t>
      </w:r>
    </w:p>
    <w:p w14:paraId="32A90E90">
      <w:pPr>
        <w:pStyle w:val="16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遗传学是生命科学的重要基础学科，主要研究生物的遗传、变异和进化规律。本学科主要培养我国社会主义建设需要的德、智、体全面发展的遗传学高级专门人才。</w:t>
      </w:r>
    </w:p>
    <w:p w14:paraId="1AA08AF9">
      <w:pPr>
        <w:topLinePunct/>
        <w:spacing w:before="156" w:beforeLines="50" w:line="360" w:lineRule="auto"/>
        <w:ind w:firstLine="442" w:firstLineChars="200"/>
        <w:textAlignment w:val="top"/>
        <w:rPr>
          <w:rFonts w:ascii="Times New Roman" w:hAnsi="Times New Roman" w:eastAsia="宋体" w:cs="Times New Roman"/>
          <w:b/>
          <w:bCs/>
          <w:color w:val="000000"/>
          <w:kern w:val="0"/>
          <w:sz w:val="22"/>
          <w:szCs w:val="20"/>
        </w:rPr>
      </w:pPr>
      <w:r>
        <w:rPr>
          <w:rFonts w:ascii="Times New Roman" w:hAnsi="Times New Roman" w:eastAsia="宋体" w:cs="Times New Roman"/>
          <w:b/>
          <w:bCs/>
          <w:color w:val="000000"/>
          <w:kern w:val="0"/>
          <w:sz w:val="22"/>
          <w:szCs w:val="20"/>
        </w:rPr>
        <w:t>二、主要研究方向</w:t>
      </w:r>
    </w:p>
    <w:p w14:paraId="1C003213">
      <w:pPr>
        <w:pStyle w:val="16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1．分子与细胞遗传学</w:t>
      </w:r>
    </w:p>
    <w:p w14:paraId="4E8DBE8B">
      <w:pPr>
        <w:pStyle w:val="16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2．肿瘤分子遗传学</w:t>
      </w:r>
    </w:p>
    <w:p w14:paraId="2ED3CAD1">
      <w:pPr>
        <w:pStyle w:val="16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3．遗传工程</w:t>
      </w:r>
    </w:p>
    <w:p w14:paraId="0E18721F">
      <w:pPr>
        <w:topLinePunct/>
        <w:spacing w:before="156" w:beforeLines="50" w:line="360" w:lineRule="auto"/>
        <w:ind w:firstLine="442" w:firstLineChars="200"/>
        <w:textAlignment w:val="top"/>
        <w:rPr>
          <w:rFonts w:ascii="Times New Roman" w:hAnsi="Times New Roman" w:eastAsia="宋体" w:cs="Times New Roman"/>
          <w:b/>
          <w:bCs/>
          <w:color w:val="000000"/>
          <w:kern w:val="0"/>
          <w:sz w:val="22"/>
          <w:szCs w:val="20"/>
        </w:rPr>
      </w:pPr>
      <w:r>
        <w:rPr>
          <w:rFonts w:ascii="Times New Roman" w:hAnsi="Times New Roman" w:eastAsia="宋体" w:cs="Times New Roman"/>
          <w:b/>
          <w:bCs/>
          <w:color w:val="000000"/>
          <w:kern w:val="0"/>
          <w:sz w:val="22"/>
          <w:szCs w:val="20"/>
        </w:rPr>
        <w:t>三、培养方式</w:t>
      </w:r>
    </w:p>
    <w:p w14:paraId="5ADEB998">
      <w:pPr>
        <w:topLinePunct/>
        <w:spacing w:before="156" w:beforeLines="50" w:line="360" w:lineRule="auto"/>
        <w:ind w:firstLine="440" w:firstLineChars="200"/>
        <w:textAlignment w:val="top"/>
        <w:rPr>
          <w:rFonts w:ascii="Times New Roman" w:hAnsi="Times New Roman" w:eastAsia="宋体" w:cs="Times New Roman"/>
          <w:color w:val="000000"/>
          <w:kern w:val="0"/>
          <w:sz w:val="22"/>
          <w:szCs w:val="20"/>
        </w:rPr>
      </w:pPr>
      <w:r>
        <w:rPr>
          <w:rFonts w:ascii="Times New Roman" w:hAnsi="Times New Roman" w:eastAsia="宋体" w:cs="Times New Roman"/>
          <w:color w:val="000000"/>
          <w:kern w:val="0"/>
          <w:sz w:val="22"/>
          <w:szCs w:val="20"/>
        </w:rPr>
        <w:t>博士研究生培养实行导师负责制，为充分发挥学术群体的作用，同时建立以导师为主的研究生培养指导小组（不少于3人组成），由导师和指导小组全面负责研究生的培养工作。在培养过程中注意充分发挥研究生的主动性和自觉性，可采用研讨式的教学方式。</w:t>
      </w:r>
    </w:p>
    <w:p w14:paraId="2D82EE1C">
      <w:pPr>
        <w:topLinePunct/>
        <w:spacing w:before="156" w:beforeLines="50" w:line="360" w:lineRule="auto"/>
        <w:ind w:firstLine="442" w:firstLineChars="200"/>
        <w:textAlignment w:val="top"/>
        <w:rPr>
          <w:rFonts w:ascii="Times New Roman" w:hAnsi="Times New Roman" w:eastAsia="宋体" w:cs="Times New Roman"/>
          <w:b/>
          <w:bCs/>
          <w:color w:val="000000"/>
          <w:kern w:val="0"/>
          <w:sz w:val="22"/>
          <w:szCs w:val="20"/>
        </w:rPr>
      </w:pPr>
      <w:r>
        <w:rPr>
          <w:rFonts w:ascii="Times New Roman" w:hAnsi="Times New Roman" w:eastAsia="宋体" w:cs="Times New Roman"/>
          <w:b/>
          <w:bCs/>
          <w:color w:val="000000"/>
          <w:kern w:val="0"/>
          <w:sz w:val="22"/>
          <w:szCs w:val="20"/>
        </w:rPr>
        <w:t>四、学制及修业年限</w:t>
      </w:r>
    </w:p>
    <w:p w14:paraId="12F5859C">
      <w:pPr>
        <w:topLinePunct/>
        <w:spacing w:line="360" w:lineRule="auto"/>
        <w:ind w:firstLine="440" w:firstLineChars="200"/>
        <w:textAlignment w:val="top"/>
        <w:rPr>
          <w:rFonts w:ascii="Times New Roman" w:hAnsi="Times New Roman" w:eastAsia="宋体" w:cs="Times New Roman"/>
          <w:color w:val="000000"/>
          <w:kern w:val="0"/>
          <w:sz w:val="22"/>
          <w:szCs w:val="20"/>
        </w:rPr>
      </w:pPr>
      <w:r>
        <w:rPr>
          <w:rFonts w:ascii="Times New Roman" w:hAnsi="Times New Roman" w:eastAsia="宋体" w:cs="Times New Roman"/>
          <w:color w:val="000000"/>
          <w:kern w:val="0"/>
          <w:sz w:val="22"/>
          <w:szCs w:val="20"/>
        </w:rPr>
        <w:t>本专业博士研究生学制为4年，最长修业年限为基本修业年限延长2年。</w:t>
      </w:r>
    </w:p>
    <w:p w14:paraId="7013788D">
      <w:pPr>
        <w:topLinePunct/>
        <w:spacing w:before="156" w:beforeLines="50" w:line="360" w:lineRule="auto"/>
        <w:ind w:firstLine="442" w:firstLineChars="200"/>
        <w:textAlignment w:val="top"/>
        <w:rPr>
          <w:rFonts w:ascii="Times New Roman" w:hAnsi="Times New Roman" w:eastAsia="宋体" w:cs="Times New Roman"/>
          <w:b/>
          <w:bCs/>
          <w:color w:val="000000"/>
          <w:kern w:val="0"/>
          <w:sz w:val="22"/>
          <w:szCs w:val="20"/>
        </w:rPr>
      </w:pPr>
      <w:r>
        <w:rPr>
          <w:rFonts w:ascii="Times New Roman" w:hAnsi="Times New Roman" w:eastAsia="宋体" w:cs="Times New Roman"/>
          <w:b/>
          <w:bCs/>
          <w:color w:val="000000"/>
          <w:kern w:val="0"/>
          <w:sz w:val="22"/>
          <w:szCs w:val="20"/>
        </w:rPr>
        <w:t>五、课程设置及学分要求</w:t>
      </w:r>
    </w:p>
    <w:p w14:paraId="3604B2FB">
      <w:pPr>
        <w:rPr>
          <w:lang w:val="zh-CN"/>
        </w:rPr>
      </w:pPr>
      <w:r>
        <w:rPr>
          <w:lang w:val="zh-CN"/>
        </w:rPr>
        <w:br w:type="page"/>
      </w:r>
    </w:p>
    <w:p w14:paraId="6D532777">
      <w:pPr>
        <w:pStyle w:val="3"/>
        <w:spacing w:before="240" w:after="120"/>
        <w:ind w:firstLine="0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专业培养方案课程设置与学分</w:t>
      </w:r>
      <w:r>
        <w:rPr>
          <w:rFonts w:ascii="Times New Roman" w:hAnsi="Times New Roman"/>
          <w:lang w:val="en-US"/>
        </w:rPr>
        <w:t>要求</w:t>
      </w:r>
    </w:p>
    <w:tbl>
      <w:tblPr>
        <w:tblStyle w:val="5"/>
        <w:tblW w:w="850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6"/>
        <w:gridCol w:w="997"/>
        <w:gridCol w:w="51"/>
        <w:gridCol w:w="1563"/>
        <w:gridCol w:w="1409"/>
        <w:gridCol w:w="154"/>
        <w:gridCol w:w="405"/>
        <w:gridCol w:w="516"/>
        <w:gridCol w:w="645"/>
        <w:gridCol w:w="40"/>
        <w:gridCol w:w="1524"/>
        <w:gridCol w:w="684"/>
      </w:tblGrid>
      <w:tr w14:paraId="5E6FEA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A1DE9BB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类</w:t>
            </w:r>
          </w:p>
          <w:p w14:paraId="589C7B2E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别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62E8229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课程编码</w:t>
            </w:r>
          </w:p>
        </w:tc>
        <w:tc>
          <w:tcPr>
            <w:tcW w:w="3023" w:type="dxa"/>
            <w:gridSpan w:val="3"/>
            <w:shd w:val="clear" w:color="auto" w:fill="auto"/>
            <w:vAlign w:val="center"/>
          </w:tcPr>
          <w:p w14:paraId="41440855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课程名称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6A006983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总</w:t>
            </w:r>
          </w:p>
          <w:p w14:paraId="2CDCAF1E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学</w:t>
            </w:r>
          </w:p>
          <w:p w14:paraId="2936D449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时</w:t>
            </w:r>
          </w:p>
        </w:tc>
        <w:tc>
          <w:tcPr>
            <w:tcW w:w="516" w:type="dxa"/>
            <w:shd w:val="clear" w:color="auto" w:fill="auto"/>
            <w:vAlign w:val="center"/>
          </w:tcPr>
          <w:p w14:paraId="377ACBD0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学</w:t>
            </w:r>
          </w:p>
          <w:p w14:paraId="7CE9B57D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分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2CE46ED4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授课</w:t>
            </w:r>
          </w:p>
          <w:p w14:paraId="527C7C94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学期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CC41123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授课方式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58D2173F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开课</w:t>
            </w:r>
          </w:p>
          <w:p w14:paraId="0ED2BA2F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单位</w:t>
            </w:r>
          </w:p>
          <w:p w14:paraId="453D5EF0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代码</w:t>
            </w:r>
          </w:p>
        </w:tc>
      </w:tr>
      <w:tr w14:paraId="40B168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6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734F98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必</w:t>
            </w:r>
          </w:p>
          <w:p w14:paraId="10C11D4A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修</w:t>
            </w:r>
          </w:p>
          <w:p w14:paraId="5B8D53A8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课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7CF4193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90011203</w:t>
            </w:r>
          </w:p>
        </w:tc>
        <w:tc>
          <w:tcPr>
            <w:tcW w:w="3023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451393AC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中国马克思主义与当代（理科）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1B14FD36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34</w:t>
            </w:r>
          </w:p>
        </w:tc>
        <w:tc>
          <w:tcPr>
            <w:tcW w:w="516" w:type="dxa"/>
            <w:shd w:val="clear" w:color="auto" w:fill="auto"/>
            <w:vAlign w:val="center"/>
          </w:tcPr>
          <w:p w14:paraId="0F42BE49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2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0E8ABCCE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0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1524" w:type="dxa"/>
            <w:shd w:val="clear" w:color="auto" w:fill="auto"/>
            <w:vAlign w:val="center"/>
          </w:tcPr>
          <w:p w14:paraId="7B79ECD8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讲授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0F801BA6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120</w:t>
            </w:r>
          </w:p>
        </w:tc>
      </w:tr>
      <w:tr w14:paraId="6356DE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6" w:type="dxa"/>
            <w:vMerge w:val="continue"/>
            <w:shd w:val="clear" w:color="auto" w:fill="auto"/>
            <w:vAlign w:val="center"/>
          </w:tcPr>
          <w:p w14:paraId="7101DA7F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F283398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90011101</w:t>
            </w:r>
          </w:p>
        </w:tc>
        <w:tc>
          <w:tcPr>
            <w:tcW w:w="3023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745038FD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第一外国语（英语）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44A73BF8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34</w:t>
            </w:r>
          </w:p>
        </w:tc>
        <w:tc>
          <w:tcPr>
            <w:tcW w:w="516" w:type="dxa"/>
            <w:shd w:val="clear" w:color="auto" w:fill="auto"/>
            <w:vAlign w:val="center"/>
          </w:tcPr>
          <w:p w14:paraId="5EB46EE3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2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4B0ED37B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1、2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2D3E76F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讲授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66624751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100</w:t>
            </w:r>
          </w:p>
        </w:tc>
      </w:tr>
      <w:tr w14:paraId="5DB2FE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6" w:type="dxa"/>
            <w:vMerge w:val="continue"/>
            <w:shd w:val="clear" w:color="auto" w:fill="auto"/>
            <w:vAlign w:val="center"/>
          </w:tcPr>
          <w:p w14:paraId="16B1C352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C9EE93F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90051001</w:t>
            </w:r>
          </w:p>
        </w:tc>
        <w:tc>
          <w:tcPr>
            <w:tcW w:w="3023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3766E22A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科研伦理与学术规范类课程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00FF3BA8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17</w:t>
            </w:r>
          </w:p>
        </w:tc>
        <w:tc>
          <w:tcPr>
            <w:tcW w:w="516" w:type="dxa"/>
            <w:shd w:val="clear" w:color="auto" w:fill="auto"/>
            <w:vAlign w:val="center"/>
          </w:tcPr>
          <w:p w14:paraId="5AA039B4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4FD28588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1、2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A59A139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线上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3B8AFA59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900</w:t>
            </w:r>
          </w:p>
        </w:tc>
      </w:tr>
      <w:tr w14:paraId="4B35C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6" w:type="dxa"/>
            <w:vMerge w:val="continue"/>
            <w:shd w:val="clear" w:color="auto" w:fill="auto"/>
            <w:vAlign w:val="center"/>
          </w:tcPr>
          <w:p w14:paraId="36E2E99B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A28B673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06022272</w:t>
            </w:r>
          </w:p>
        </w:tc>
        <w:tc>
          <w:tcPr>
            <w:tcW w:w="3023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46EC3D22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研究生学术论文写作指导（博士）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6FF215A5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17</w:t>
            </w:r>
          </w:p>
        </w:tc>
        <w:tc>
          <w:tcPr>
            <w:tcW w:w="516" w:type="dxa"/>
            <w:shd w:val="clear" w:color="auto" w:fill="auto"/>
            <w:vAlign w:val="center"/>
          </w:tcPr>
          <w:p w14:paraId="3535420B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57337770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C79DC8D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讲授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1A0EF766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060</w:t>
            </w:r>
          </w:p>
        </w:tc>
      </w:tr>
      <w:tr w14:paraId="709A15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6" w:type="dxa"/>
            <w:vMerge w:val="continue"/>
            <w:shd w:val="clear" w:color="auto" w:fill="auto"/>
            <w:vAlign w:val="center"/>
          </w:tcPr>
          <w:p w14:paraId="6907D478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C6EF501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06021202</w:t>
            </w:r>
          </w:p>
        </w:tc>
        <w:tc>
          <w:tcPr>
            <w:tcW w:w="3023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77BA1967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文献综述与开题报告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396D6FF1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34</w:t>
            </w:r>
          </w:p>
        </w:tc>
        <w:tc>
          <w:tcPr>
            <w:tcW w:w="516" w:type="dxa"/>
            <w:shd w:val="clear" w:color="auto" w:fill="auto"/>
            <w:vAlign w:val="center"/>
          </w:tcPr>
          <w:p w14:paraId="366C3D34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2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7174C6C2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3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7F9FCA2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报告与讨论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3C5DABF1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060</w:t>
            </w:r>
          </w:p>
        </w:tc>
      </w:tr>
      <w:tr w14:paraId="5D2715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6" w:type="dxa"/>
            <w:vMerge w:val="continue"/>
            <w:shd w:val="clear" w:color="auto" w:fill="auto"/>
            <w:vAlign w:val="center"/>
          </w:tcPr>
          <w:p w14:paraId="622EADF0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3D3C11B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06011204</w:t>
            </w:r>
          </w:p>
        </w:tc>
        <w:tc>
          <w:tcPr>
            <w:tcW w:w="3023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5DA3F862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高级分子遗传学研讨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767C9DB1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34</w:t>
            </w:r>
          </w:p>
        </w:tc>
        <w:tc>
          <w:tcPr>
            <w:tcW w:w="516" w:type="dxa"/>
            <w:shd w:val="clear" w:color="auto" w:fill="auto"/>
            <w:vAlign w:val="center"/>
          </w:tcPr>
          <w:p w14:paraId="25BA8431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2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7F6E0D0F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2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BF800AB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讲授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343E82A7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060</w:t>
            </w:r>
          </w:p>
        </w:tc>
      </w:tr>
      <w:tr w14:paraId="5F6646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6" w:type="dxa"/>
            <w:vMerge w:val="continue"/>
            <w:shd w:val="clear" w:color="auto" w:fill="auto"/>
            <w:vAlign w:val="center"/>
          </w:tcPr>
          <w:p w14:paraId="21B47AD5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3D90576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0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602227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4</w:t>
            </w:r>
          </w:p>
        </w:tc>
        <w:tc>
          <w:tcPr>
            <w:tcW w:w="3023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57B34FAA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生物实验安全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150417C2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7</w:t>
            </w:r>
          </w:p>
        </w:tc>
        <w:tc>
          <w:tcPr>
            <w:tcW w:w="516" w:type="dxa"/>
            <w:shd w:val="clear" w:color="auto" w:fill="auto"/>
            <w:vAlign w:val="center"/>
          </w:tcPr>
          <w:p w14:paraId="59102FA3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5D0068F7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3C7A305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讲授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4CC5E81C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0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60</w:t>
            </w:r>
          </w:p>
        </w:tc>
      </w:tr>
      <w:tr w14:paraId="2AA6BD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6" w:type="dxa"/>
            <w:vMerge w:val="restart"/>
            <w:shd w:val="clear" w:color="auto" w:fill="auto"/>
            <w:vAlign w:val="center"/>
          </w:tcPr>
          <w:p w14:paraId="3F5EE857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选</w:t>
            </w:r>
          </w:p>
          <w:p w14:paraId="370424ED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修</w:t>
            </w:r>
          </w:p>
          <w:p w14:paraId="35097157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课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64DD6E5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3023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3339E330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第二外国语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4ECD73AA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3ADB28AF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2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04B498F2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1、2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F5C2773">
            <w:pPr>
              <w:ind w:left="-44" w:leftChars="-21" w:firstLine="52" w:firstLineChars="24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讲授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2D622EB6">
            <w:pPr>
              <w:ind w:left="-22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100</w:t>
            </w:r>
          </w:p>
        </w:tc>
      </w:tr>
      <w:tr w14:paraId="7C78F9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6" w:type="dxa"/>
            <w:vMerge w:val="continue"/>
            <w:shd w:val="clear" w:color="auto" w:fill="auto"/>
            <w:vAlign w:val="center"/>
          </w:tcPr>
          <w:p w14:paraId="59D3130F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18F0E3A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3023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38219080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体育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7AB158A3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34</w:t>
            </w:r>
          </w:p>
        </w:tc>
        <w:tc>
          <w:tcPr>
            <w:tcW w:w="516" w:type="dxa"/>
            <w:shd w:val="clear" w:color="auto" w:fill="auto"/>
            <w:vAlign w:val="center"/>
          </w:tcPr>
          <w:p w14:paraId="00A252C4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2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6E4DCBE4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1、2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993EDDB">
            <w:pPr>
              <w:ind w:left="-90" w:leftChars="-43" w:firstLine="52" w:firstLineChars="24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讲授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7B18AB85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300</w:t>
            </w:r>
          </w:p>
        </w:tc>
      </w:tr>
      <w:tr w14:paraId="5F145C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6" w:type="dxa"/>
            <w:vMerge w:val="continue"/>
            <w:shd w:val="clear" w:color="auto" w:fill="auto"/>
            <w:vAlign w:val="center"/>
          </w:tcPr>
          <w:p w14:paraId="1BEED15C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211556D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90052002</w:t>
            </w:r>
          </w:p>
        </w:tc>
        <w:tc>
          <w:tcPr>
            <w:tcW w:w="3023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681121DB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创新思维与创业实验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6BEC5D5E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71AB0890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1DF146DF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1、2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0D56ABA">
            <w:pPr>
              <w:ind w:left="92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在线课程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73C127B5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900</w:t>
            </w:r>
          </w:p>
        </w:tc>
      </w:tr>
      <w:tr w14:paraId="1F5FDB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6" w:type="dxa"/>
            <w:vMerge w:val="continue"/>
            <w:shd w:val="clear" w:color="auto" w:fill="auto"/>
            <w:vAlign w:val="center"/>
          </w:tcPr>
          <w:p w14:paraId="2F856F7E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78387E16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06012217</w:t>
            </w:r>
          </w:p>
        </w:tc>
        <w:tc>
          <w:tcPr>
            <w:tcW w:w="3023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2A4A151E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肿瘤生物学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7718F4F0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34</w:t>
            </w:r>
          </w:p>
        </w:tc>
        <w:tc>
          <w:tcPr>
            <w:tcW w:w="516" w:type="dxa"/>
            <w:shd w:val="clear" w:color="auto" w:fill="auto"/>
            <w:vAlign w:val="center"/>
          </w:tcPr>
          <w:p w14:paraId="1379A19D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2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3C39B26B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C7E770F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讲授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6AAA3929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060</w:t>
            </w:r>
          </w:p>
        </w:tc>
      </w:tr>
      <w:tr w14:paraId="4DD63E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6" w:type="dxa"/>
            <w:vMerge w:val="continue"/>
            <w:shd w:val="clear" w:color="auto" w:fill="auto"/>
            <w:vAlign w:val="center"/>
          </w:tcPr>
          <w:p w14:paraId="3B6FA08E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46F47A5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06021203</w:t>
            </w:r>
          </w:p>
        </w:tc>
        <w:tc>
          <w:tcPr>
            <w:tcW w:w="3023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7C1C5988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生物科学与技术前沿进展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66A3B961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34</w:t>
            </w:r>
          </w:p>
        </w:tc>
        <w:tc>
          <w:tcPr>
            <w:tcW w:w="516" w:type="dxa"/>
            <w:shd w:val="clear" w:color="auto" w:fill="auto"/>
            <w:vAlign w:val="center"/>
          </w:tcPr>
          <w:p w14:paraId="320BAB8F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2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04C16751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1、2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AA54427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讲座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013448B7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060</w:t>
            </w:r>
          </w:p>
        </w:tc>
      </w:tr>
      <w:tr w14:paraId="4AC31C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6" w:type="dxa"/>
            <w:vMerge w:val="continue"/>
            <w:shd w:val="clear" w:color="auto" w:fill="auto"/>
            <w:vAlign w:val="center"/>
          </w:tcPr>
          <w:p w14:paraId="2F3A6333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DFC55D2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06022259</w:t>
            </w:r>
          </w:p>
        </w:tc>
        <w:tc>
          <w:tcPr>
            <w:tcW w:w="3023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04753F45">
            <w:pPr>
              <w:ind w:left="-4" w:leftChars="-2" w:firstLine="2" w:firstLineChars="1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生物学科研究生职业生涯规划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2108F5C9">
            <w:pPr>
              <w:ind w:left="49" w:leftChars="-50" w:right="-105" w:rightChars="-50" w:hanging="154" w:hangingChars="7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17</w:t>
            </w:r>
          </w:p>
        </w:tc>
        <w:tc>
          <w:tcPr>
            <w:tcW w:w="516" w:type="dxa"/>
            <w:shd w:val="clear" w:color="auto" w:fill="auto"/>
            <w:vAlign w:val="center"/>
          </w:tcPr>
          <w:p w14:paraId="6FC9F0F1">
            <w:pPr>
              <w:ind w:left="2" w:leftChars="-50" w:right="-105" w:rightChars="-50" w:hanging="107" w:hangingChars="49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312D2DFC">
            <w:pPr>
              <w:ind w:left="-46" w:leftChars="-50" w:right="-105" w:rightChars="-50" w:hanging="59" w:hangingChars="27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D49EDB2">
            <w:pPr>
              <w:ind w:left="2" w:leftChars="-20" w:hanging="44" w:hangingChars="2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讲授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083094A4">
            <w:pPr>
              <w:ind w:left="4" w:leftChars="-43" w:hanging="94" w:hangingChars="43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060</w:t>
            </w:r>
          </w:p>
        </w:tc>
      </w:tr>
      <w:tr w14:paraId="05C809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6" w:type="dxa"/>
            <w:vMerge w:val="continue"/>
            <w:shd w:val="clear" w:color="auto" w:fill="auto"/>
            <w:vAlign w:val="center"/>
          </w:tcPr>
          <w:p w14:paraId="3A210C03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0D6B3B9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06022260</w:t>
            </w:r>
          </w:p>
        </w:tc>
        <w:tc>
          <w:tcPr>
            <w:tcW w:w="3023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67B97182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研究生学术与职业素养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504475FF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34</w:t>
            </w:r>
          </w:p>
        </w:tc>
        <w:tc>
          <w:tcPr>
            <w:tcW w:w="516" w:type="dxa"/>
            <w:shd w:val="clear" w:color="auto" w:fill="auto"/>
            <w:vAlign w:val="center"/>
          </w:tcPr>
          <w:p w14:paraId="6D6F9572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2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6CC52023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16EC3F1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讲授与讨论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715FDDAC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060</w:t>
            </w:r>
          </w:p>
        </w:tc>
      </w:tr>
      <w:tr w14:paraId="4653FA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6" w:type="dxa"/>
            <w:vMerge w:val="continue"/>
            <w:shd w:val="clear" w:color="auto" w:fill="auto"/>
            <w:vAlign w:val="center"/>
          </w:tcPr>
          <w:p w14:paraId="11517E07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7E5C8C4F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06021213</w:t>
            </w:r>
          </w:p>
        </w:tc>
        <w:tc>
          <w:tcPr>
            <w:tcW w:w="3023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14:paraId="3F7FB4A0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分子细胞生物学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214136C4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34</w:t>
            </w:r>
          </w:p>
        </w:tc>
        <w:tc>
          <w:tcPr>
            <w:tcW w:w="516" w:type="dxa"/>
            <w:shd w:val="clear" w:color="auto" w:fill="auto"/>
            <w:vAlign w:val="center"/>
          </w:tcPr>
          <w:p w14:paraId="5DDED278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2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483D3A8E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FFC482D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讲授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3C69EA72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060</w:t>
            </w:r>
          </w:p>
        </w:tc>
      </w:tr>
      <w:tr w14:paraId="766CDB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6" w:type="dxa"/>
            <w:vMerge w:val="restart"/>
            <w:shd w:val="clear" w:color="auto" w:fill="auto"/>
            <w:vAlign w:val="center"/>
          </w:tcPr>
          <w:p w14:paraId="6625CF3C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补</w:t>
            </w:r>
          </w:p>
          <w:p w14:paraId="538C0CA8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修</w:t>
            </w:r>
          </w:p>
          <w:p w14:paraId="3ECE7D65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课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12AD68E8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3023" w:type="dxa"/>
            <w:gridSpan w:val="3"/>
            <w:shd w:val="clear" w:color="auto" w:fill="auto"/>
            <w:vAlign w:val="center"/>
          </w:tcPr>
          <w:p w14:paraId="219E3E43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4EC749BC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516" w:type="dxa"/>
            <w:vMerge w:val="restart"/>
            <w:shd w:val="clear" w:color="auto" w:fill="auto"/>
            <w:vAlign w:val="center"/>
          </w:tcPr>
          <w:p w14:paraId="4E649061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不</w:t>
            </w:r>
          </w:p>
          <w:p w14:paraId="0303C657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计</w:t>
            </w:r>
          </w:p>
          <w:p w14:paraId="42DC96B3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学</w:t>
            </w:r>
          </w:p>
          <w:p w14:paraId="238E397B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分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223FF61B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0AD13C29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17FD95E9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</w:tr>
      <w:tr w14:paraId="6A63C8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6" w:type="dxa"/>
            <w:vMerge w:val="continue"/>
            <w:shd w:val="clear" w:color="auto" w:fill="auto"/>
            <w:vAlign w:val="center"/>
          </w:tcPr>
          <w:p w14:paraId="491FE991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8503252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3023" w:type="dxa"/>
            <w:gridSpan w:val="3"/>
            <w:shd w:val="clear" w:color="auto" w:fill="auto"/>
            <w:vAlign w:val="center"/>
          </w:tcPr>
          <w:p w14:paraId="67A75B0A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1A5C7403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516" w:type="dxa"/>
            <w:vMerge w:val="continue"/>
            <w:shd w:val="clear" w:color="auto" w:fill="auto"/>
            <w:vAlign w:val="center"/>
          </w:tcPr>
          <w:p w14:paraId="67DB67B6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67269C0A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4F3D0D30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742FD74E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</w:tr>
      <w:tr w14:paraId="683154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6" w:type="dxa"/>
            <w:vMerge w:val="continue"/>
            <w:shd w:val="clear" w:color="auto" w:fill="auto"/>
            <w:vAlign w:val="center"/>
          </w:tcPr>
          <w:p w14:paraId="111423DA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CB01C7D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3023" w:type="dxa"/>
            <w:gridSpan w:val="3"/>
            <w:shd w:val="clear" w:color="auto" w:fill="auto"/>
            <w:vAlign w:val="center"/>
          </w:tcPr>
          <w:p w14:paraId="1B41CD64">
            <w:pP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467130F9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516" w:type="dxa"/>
            <w:vMerge w:val="continue"/>
            <w:shd w:val="clear" w:color="auto" w:fill="auto"/>
            <w:vAlign w:val="center"/>
          </w:tcPr>
          <w:p w14:paraId="7F708A68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1B7AC2B3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4F8C1DE0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4D62F3D7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</w:tr>
      <w:tr w14:paraId="74BE67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8504" w:type="dxa"/>
            <w:gridSpan w:val="12"/>
            <w:shd w:val="clear" w:color="auto" w:fill="auto"/>
            <w:vAlign w:val="center"/>
          </w:tcPr>
          <w:p w14:paraId="477BD59B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本专业毕业学分要求</w:t>
            </w:r>
          </w:p>
        </w:tc>
      </w:tr>
      <w:tr w14:paraId="7906CB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564" w:type="dxa"/>
            <w:gridSpan w:val="3"/>
            <w:shd w:val="clear" w:color="auto" w:fill="auto"/>
            <w:vAlign w:val="center"/>
          </w:tcPr>
          <w:p w14:paraId="479B9BC1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总学分要求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37B3218B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校公共必修课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6E1A9095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专业必修课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0C29A216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专业选修课</w:t>
            </w:r>
          </w:p>
        </w:tc>
        <w:tc>
          <w:tcPr>
            <w:tcW w:w="2248" w:type="dxa"/>
            <w:gridSpan w:val="3"/>
            <w:shd w:val="clear" w:color="auto" w:fill="auto"/>
            <w:vAlign w:val="center"/>
          </w:tcPr>
          <w:p w14:paraId="343BE682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0"/>
              </w:rPr>
              <w:t>其他学分</w:t>
            </w:r>
          </w:p>
        </w:tc>
      </w:tr>
      <w:tr w14:paraId="1A3D6C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564" w:type="dxa"/>
            <w:gridSpan w:val="3"/>
            <w:shd w:val="clear" w:color="auto" w:fill="auto"/>
            <w:vAlign w:val="center"/>
          </w:tcPr>
          <w:p w14:paraId="14C3DD12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3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3904BE4D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5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60563BF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6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17D04CB6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2</w:t>
            </w:r>
          </w:p>
        </w:tc>
        <w:tc>
          <w:tcPr>
            <w:tcW w:w="2248" w:type="dxa"/>
            <w:gridSpan w:val="3"/>
            <w:shd w:val="clear" w:color="auto" w:fill="auto"/>
            <w:vAlign w:val="center"/>
          </w:tcPr>
          <w:p w14:paraId="2D1BB00B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  <w:t>0</w:t>
            </w:r>
          </w:p>
        </w:tc>
      </w:tr>
    </w:tbl>
    <w:p w14:paraId="416E3C9F">
      <w:pPr>
        <w:pStyle w:val="16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说明：体育作为选修课（2学分），不计入研究生完成课程学习所取得的总学分。</w:t>
      </w:r>
    </w:p>
    <w:p w14:paraId="3D187F25">
      <w:pPr>
        <w:pStyle w:val="16"/>
        <w:ind w:firstLine="449"/>
        <w:rPr>
          <w:rFonts w:ascii="Times New Roman" w:hAnsi="Times New Roman" w:cs="Times New Roman"/>
          <w:b/>
          <w:bCs/>
          <w:lang w:eastAsia="zh-CN"/>
        </w:rPr>
      </w:pPr>
      <w:r>
        <w:rPr>
          <w:rFonts w:ascii="Times New Roman" w:hAnsi="Times New Roman" w:cs="Times New Roman"/>
          <w:b/>
          <w:bCs/>
          <w:lang w:eastAsia="zh-CN"/>
        </w:rPr>
        <w:t>六、培养环节</w:t>
      </w:r>
    </w:p>
    <w:p w14:paraId="6FD2910B">
      <w:pPr>
        <w:pStyle w:val="16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由遗传学学科组织，由培养指导小组把关，依据《南开大学研究生学位论文资格考试、开题报告及中期考核管理指导意见</w:t>
      </w:r>
      <w:r>
        <w:rPr>
          <w:rFonts w:hint="eastAsia" w:ascii="Times New Roman" w:hAnsi="Times New Roman" w:cs="Times New Roman"/>
          <w:lang w:eastAsia="zh-CN"/>
        </w:rPr>
        <w:t>（试行）</w:t>
      </w:r>
      <w:r>
        <w:rPr>
          <w:rFonts w:ascii="Times New Roman" w:hAnsi="Times New Roman" w:cs="Times New Roman"/>
          <w:lang w:eastAsia="zh-CN"/>
        </w:rPr>
        <w:t>》执行。</w:t>
      </w:r>
    </w:p>
    <w:p w14:paraId="7C1354B2">
      <w:pPr>
        <w:pStyle w:val="16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1. 资格考试</w:t>
      </w:r>
    </w:p>
    <w:p w14:paraId="0CA51AB1">
      <w:pPr>
        <w:pStyle w:val="16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博士研究生的资格考试一般在第二学期末进行。</w:t>
      </w:r>
    </w:p>
    <w:p w14:paraId="34FDACAD">
      <w:pPr>
        <w:pStyle w:val="16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2. 开题报告</w:t>
      </w:r>
    </w:p>
    <w:p w14:paraId="02D6416B">
      <w:pPr>
        <w:pStyle w:val="16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博士研究生的开题报告一般在第三学期进行。</w:t>
      </w:r>
    </w:p>
    <w:p w14:paraId="70984DCE">
      <w:pPr>
        <w:pStyle w:val="16"/>
        <w:ind w:firstLine="440"/>
        <w:rPr>
          <w:rFonts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eastAsia="zh-CN"/>
        </w:rPr>
        <w:t xml:space="preserve">3. </w:t>
      </w:r>
      <w:r>
        <w:rPr>
          <w:rFonts w:ascii="Times New Roman" w:hAnsi="Times New Roman" w:cs="Times New Roman"/>
          <w:lang w:eastAsia="zh-CN"/>
        </w:rPr>
        <w:t>中期考核</w:t>
      </w:r>
    </w:p>
    <w:p w14:paraId="1DEDD0ED">
      <w:pPr>
        <w:pStyle w:val="16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博士研究生的中期考核一般在第五学期进行。</w:t>
      </w:r>
    </w:p>
    <w:p w14:paraId="4774CCAB">
      <w:pPr>
        <w:pStyle w:val="16"/>
        <w:ind w:firstLine="449"/>
        <w:rPr>
          <w:rFonts w:ascii="Times New Roman" w:hAnsi="Times New Roman" w:cs="Times New Roman"/>
          <w:b/>
          <w:bCs/>
          <w:lang w:eastAsia="zh-CN"/>
        </w:rPr>
      </w:pPr>
      <w:r>
        <w:rPr>
          <w:rFonts w:ascii="Times New Roman" w:hAnsi="Times New Roman" w:cs="Times New Roman"/>
          <w:b/>
          <w:bCs/>
          <w:lang w:eastAsia="zh-CN"/>
        </w:rPr>
        <w:t>七、毕业标准及申请学位成果要求</w:t>
      </w:r>
    </w:p>
    <w:p w14:paraId="66DC9B47">
      <w:pPr>
        <w:pStyle w:val="16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详见《生物学学位评定分委员会学术型博士研究生申请学位成果细则》。</w:t>
      </w:r>
    </w:p>
    <w:p w14:paraId="383DE6DC">
      <w:pPr>
        <w:topLinePunct/>
        <w:spacing w:before="156" w:beforeLines="50"/>
        <w:ind w:firstLine="442" w:firstLineChars="200"/>
        <w:textAlignment w:val="top"/>
        <w:rPr>
          <w:rFonts w:ascii="Times New Roman" w:hAnsi="Times New Roman" w:eastAsia="宋体" w:cs="Times New Roman"/>
          <w:b/>
          <w:bCs/>
          <w:color w:val="000000"/>
          <w:kern w:val="0"/>
          <w:sz w:val="22"/>
          <w:szCs w:val="20"/>
        </w:rPr>
      </w:pPr>
      <w:r>
        <w:rPr>
          <w:rFonts w:ascii="Times New Roman" w:hAnsi="Times New Roman" w:eastAsia="宋体" w:cs="Times New Roman"/>
          <w:b/>
          <w:bCs/>
          <w:color w:val="000000"/>
          <w:kern w:val="0"/>
          <w:sz w:val="22"/>
          <w:szCs w:val="20"/>
        </w:rPr>
        <w:t>八、学位论文</w:t>
      </w:r>
    </w:p>
    <w:p w14:paraId="39CE4743">
      <w:pPr>
        <w:topLinePunct/>
        <w:spacing w:line="360" w:lineRule="auto"/>
        <w:textAlignment w:val="top"/>
        <w:rPr>
          <w:rFonts w:ascii="Times New Roman" w:hAnsi="Times New Roman" w:eastAsia="宋体" w:cs="Times New Roman"/>
          <w:color w:val="000000"/>
          <w:kern w:val="0"/>
          <w:sz w:val="22"/>
          <w:szCs w:val="20"/>
        </w:rPr>
      </w:pPr>
      <w:r>
        <w:rPr>
          <w:rFonts w:ascii="Times New Roman" w:hAnsi="Times New Roman" w:eastAsia="宋体" w:cs="Times New Roman"/>
          <w:color w:val="000000"/>
          <w:kern w:val="0"/>
          <w:sz w:val="22"/>
          <w:szCs w:val="20"/>
        </w:rPr>
        <w:t>1. 论文基本要求</w:t>
      </w:r>
    </w:p>
    <w:p w14:paraId="399097CD">
      <w:pPr>
        <w:pStyle w:val="16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博士研究生需在导师指导下，完成10万字左右的学位论文，由学生所在培养指导小组完成论文检查工作。论文写作详细要求见《南开大学研究生学位论文写作规范（202</w:t>
      </w:r>
      <w:r>
        <w:rPr>
          <w:rFonts w:hint="eastAsia" w:ascii="Times New Roman" w:hAnsi="Times New Roman" w:cs="Times New Roman"/>
          <w:lang w:eastAsia="zh-CN"/>
        </w:rPr>
        <w:t>5</w:t>
      </w:r>
      <w:r>
        <w:rPr>
          <w:rFonts w:ascii="Times New Roman" w:hAnsi="Times New Roman" w:cs="Times New Roman"/>
          <w:lang w:eastAsia="zh-CN"/>
        </w:rPr>
        <w:t>版）》。</w:t>
      </w:r>
    </w:p>
    <w:p w14:paraId="7B1C71BB">
      <w:pPr>
        <w:topLinePunct/>
        <w:spacing w:line="360" w:lineRule="auto"/>
        <w:ind w:left="450"/>
        <w:textAlignment w:val="top"/>
        <w:rPr>
          <w:rFonts w:ascii="Times New Roman" w:hAnsi="Times New Roman" w:eastAsia="宋体" w:cs="Times New Roman"/>
          <w:color w:val="000000"/>
          <w:kern w:val="0"/>
          <w:sz w:val="22"/>
          <w:szCs w:val="20"/>
        </w:rPr>
      </w:pPr>
      <w:r>
        <w:rPr>
          <w:rFonts w:ascii="Times New Roman" w:hAnsi="Times New Roman" w:eastAsia="宋体" w:cs="Times New Roman"/>
          <w:color w:val="000000"/>
          <w:kern w:val="0"/>
          <w:sz w:val="22"/>
          <w:szCs w:val="20"/>
        </w:rPr>
        <w:t>2. 论文评阅</w:t>
      </w:r>
    </w:p>
    <w:p w14:paraId="0D44001C">
      <w:pPr>
        <w:pStyle w:val="16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博士研究生的学位论文在获得导师认可且论文查重率低于10%的情况下，由学院教学培养办公室通过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ascii="Times New Roman" w:hAnsi="Times New Roman" w:cs="Times New Roman"/>
          <w:lang w:eastAsia="zh-CN"/>
        </w:rPr>
        <w:t>教育部学位与研究生教育评估平台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ascii="Times New Roman" w:hAnsi="Times New Roman" w:cs="Times New Roman"/>
          <w:lang w:eastAsia="zh-CN"/>
        </w:rPr>
        <w:t>进行双盲评审，每份论文送至5位平台专家审核（上半年为4月上旬，下半年为10月上旬，具体日期视当年安排）；如果博士生论文查重率高于10%，经导师及学位评定分委员会专家审查，决定是否继续进行答辩流程。</w:t>
      </w:r>
    </w:p>
    <w:p w14:paraId="04C4D850">
      <w:pPr>
        <w:topLinePunct/>
        <w:spacing w:line="360" w:lineRule="auto"/>
        <w:ind w:firstLine="424" w:firstLineChars="193"/>
        <w:textAlignment w:val="top"/>
        <w:rPr>
          <w:rFonts w:ascii="Times New Roman" w:hAnsi="Times New Roman" w:eastAsia="宋体" w:cs="Times New Roman"/>
          <w:color w:val="000000"/>
          <w:kern w:val="0"/>
          <w:sz w:val="22"/>
          <w:szCs w:val="20"/>
        </w:rPr>
      </w:pPr>
      <w:r>
        <w:rPr>
          <w:rFonts w:ascii="Times New Roman" w:hAnsi="Times New Roman" w:eastAsia="宋体" w:cs="Times New Roman"/>
          <w:color w:val="000000"/>
          <w:kern w:val="0"/>
          <w:sz w:val="22"/>
          <w:szCs w:val="20"/>
        </w:rPr>
        <w:t>专家评阅意见处理办法，详见</w:t>
      </w:r>
      <w:r>
        <w:rPr>
          <w:rFonts w:hint="eastAsia" w:ascii="Times New Roman" w:hAnsi="Times New Roman" w:eastAsia="宋体" w:cs="Times New Roman"/>
          <w:color w:val="000000"/>
          <w:kern w:val="0"/>
          <w:sz w:val="22"/>
          <w:szCs w:val="20"/>
        </w:rPr>
        <w:t>《南研字〔2025〕1号 南开大学博士学位论文及实践成果评审工作实施办法》</w:t>
      </w:r>
      <w:r>
        <w:rPr>
          <w:rFonts w:ascii="Times New Roman" w:hAnsi="Times New Roman" w:eastAsia="宋体" w:cs="Times New Roman"/>
          <w:color w:val="000000"/>
          <w:kern w:val="0"/>
          <w:sz w:val="22"/>
          <w:szCs w:val="20"/>
        </w:rPr>
        <w:t>。</w:t>
      </w:r>
    </w:p>
    <w:p w14:paraId="0EAB3A00">
      <w:pPr>
        <w:topLinePunct/>
        <w:spacing w:line="360" w:lineRule="auto"/>
        <w:ind w:firstLine="440" w:firstLineChars="200"/>
        <w:textAlignment w:val="top"/>
        <w:rPr>
          <w:rFonts w:ascii="Times New Roman" w:hAnsi="Times New Roman" w:eastAsia="宋体" w:cs="Times New Roman"/>
          <w:color w:val="000000"/>
          <w:kern w:val="0"/>
          <w:sz w:val="22"/>
          <w:szCs w:val="20"/>
        </w:rPr>
      </w:pPr>
      <w:r>
        <w:rPr>
          <w:rFonts w:ascii="Times New Roman" w:hAnsi="Times New Roman" w:eastAsia="宋体" w:cs="Times New Roman"/>
          <w:color w:val="000000"/>
          <w:kern w:val="0"/>
          <w:sz w:val="22"/>
          <w:szCs w:val="20"/>
        </w:rPr>
        <w:t>3. 论文答辩</w:t>
      </w:r>
    </w:p>
    <w:p w14:paraId="59DCC9AC">
      <w:pPr>
        <w:topLinePunct/>
        <w:spacing w:line="360" w:lineRule="auto"/>
        <w:ind w:firstLine="330" w:firstLineChars="150"/>
        <w:textAlignment w:val="top"/>
        <w:rPr>
          <w:rFonts w:ascii="Times New Roman" w:hAnsi="Times New Roman" w:eastAsia="宋体" w:cs="Times New Roman"/>
          <w:color w:val="000000"/>
          <w:kern w:val="0"/>
          <w:sz w:val="22"/>
          <w:szCs w:val="20"/>
        </w:rPr>
      </w:pPr>
      <w:r>
        <w:rPr>
          <w:rFonts w:ascii="Times New Roman" w:hAnsi="Times New Roman" w:eastAsia="宋体" w:cs="Times New Roman"/>
          <w:color w:val="000000"/>
          <w:kern w:val="0"/>
          <w:sz w:val="22"/>
          <w:szCs w:val="20"/>
        </w:rPr>
        <w:t>博士研究生根据评审专家评阅意见修改论文后进行答辩，要求详见《博士研究生毕业（学位）论文答辩工作要求》。</w:t>
      </w:r>
    </w:p>
    <w:p w14:paraId="0631A3C1">
      <w:pPr>
        <w:topLinePunct/>
        <w:spacing w:line="360" w:lineRule="auto"/>
        <w:ind w:firstLine="424" w:firstLineChars="193"/>
        <w:textAlignment w:val="top"/>
        <w:rPr>
          <w:rFonts w:ascii="Times New Roman" w:hAnsi="Times New Roman" w:eastAsia="宋体" w:cs="Times New Roman"/>
          <w:color w:val="000000"/>
          <w:kern w:val="0"/>
          <w:sz w:val="22"/>
          <w:szCs w:val="20"/>
        </w:rPr>
      </w:pPr>
      <w:r>
        <w:rPr>
          <w:rFonts w:ascii="Times New Roman" w:hAnsi="Times New Roman" w:eastAsia="宋体" w:cs="Times New Roman"/>
          <w:color w:val="000000"/>
          <w:kern w:val="0"/>
          <w:sz w:val="22"/>
          <w:szCs w:val="20"/>
        </w:rPr>
        <w:t>4. 二次查重</w:t>
      </w:r>
    </w:p>
    <w:p w14:paraId="3963D58A">
      <w:pPr>
        <w:topLinePunct/>
        <w:spacing w:before="156" w:beforeLines="50" w:line="360" w:lineRule="auto"/>
        <w:ind w:firstLine="424" w:firstLineChars="193"/>
        <w:textAlignment w:val="top"/>
        <w:rPr>
          <w:rFonts w:ascii="Times New Roman" w:hAnsi="Times New Roman" w:eastAsia="宋体" w:cs="Times New Roman"/>
          <w:color w:val="000000"/>
          <w:kern w:val="0"/>
          <w:sz w:val="22"/>
          <w:szCs w:val="20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2"/>
          <w:szCs w:val="20"/>
        </w:rPr>
        <w:t>博士</w:t>
      </w:r>
      <w:r>
        <w:rPr>
          <w:rFonts w:ascii="Times New Roman" w:hAnsi="Times New Roman" w:eastAsia="宋体" w:cs="Times New Roman"/>
          <w:color w:val="000000"/>
          <w:kern w:val="0"/>
          <w:sz w:val="22"/>
          <w:szCs w:val="20"/>
        </w:rPr>
        <w:t>研究生根据答辩委员会意见修改论文后，提交研究生院进行二次查重，查重率应低于10%。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2A9"/>
    <w:rsid w:val="0018463D"/>
    <w:rsid w:val="00301F6F"/>
    <w:rsid w:val="004D4E04"/>
    <w:rsid w:val="00561111"/>
    <w:rsid w:val="00634597"/>
    <w:rsid w:val="007240D0"/>
    <w:rsid w:val="00783CEA"/>
    <w:rsid w:val="00827174"/>
    <w:rsid w:val="00B3561C"/>
    <w:rsid w:val="00C212A9"/>
    <w:rsid w:val="00EA38C4"/>
    <w:rsid w:val="00F05C47"/>
    <w:rsid w:val="00F308E7"/>
    <w:rsid w:val="00F3508B"/>
    <w:rsid w:val="017E4DCE"/>
    <w:rsid w:val="07AE002C"/>
    <w:rsid w:val="0E585F77"/>
    <w:rsid w:val="0FD67B51"/>
    <w:rsid w:val="28A26DE2"/>
    <w:rsid w:val="29DD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4"/>
    <w:basedOn w:val="1"/>
    <w:next w:val="1"/>
    <w:link w:val="15"/>
    <w:qFormat/>
    <w:uiPriority w:val="0"/>
    <w:pPr>
      <w:widowControl/>
      <w:spacing w:line="271" w:lineRule="auto"/>
      <w:ind w:firstLine="425"/>
      <w:jc w:val="left"/>
      <w:outlineLvl w:val="3"/>
    </w:pPr>
    <w:rPr>
      <w:rFonts w:ascii="Cambria" w:hAnsi="Cambria" w:eastAsia="宋体" w:cs="Times New Roman"/>
      <w:b/>
      <w:bCs/>
      <w:spacing w:val="5"/>
      <w:kern w:val="0"/>
      <w:sz w:val="24"/>
      <w:lang w:val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next w:val="1"/>
    <w:link w:val="8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7">
    <w:name w:val="样式2"/>
    <w:basedOn w:val="4"/>
    <w:qFormat/>
    <w:uiPriority w:val="0"/>
    <w:pPr>
      <w:widowControl/>
    </w:pPr>
    <w:rPr>
      <w:rFonts w:eastAsia="SimSun-ExtB"/>
      <w:kern w:val="0"/>
      <w:sz w:val="24"/>
    </w:rPr>
  </w:style>
  <w:style w:type="character" w:customStyle="1" w:styleId="8">
    <w:name w:val="标题 字符"/>
    <w:basedOn w:val="6"/>
    <w:link w:val="4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9">
    <w:name w:val="标题样式-l"/>
    <w:basedOn w:val="4"/>
    <w:qFormat/>
    <w:uiPriority w:val="0"/>
    <w:pPr>
      <w:widowControl/>
    </w:pPr>
    <w:rPr>
      <w:rFonts w:eastAsia="SimSun-ExtB"/>
      <w:kern w:val="0"/>
      <w:sz w:val="24"/>
    </w:rPr>
  </w:style>
  <w:style w:type="paragraph" w:customStyle="1" w:styleId="10">
    <w:name w:val="样式1"/>
    <w:basedOn w:val="2"/>
    <w:autoRedefine/>
    <w:qFormat/>
    <w:uiPriority w:val="0"/>
    <w:pPr>
      <w:keepNext w:val="0"/>
      <w:keepLines w:val="0"/>
      <w:widowControl/>
      <w:spacing w:before="480" w:beforeAutospacing="1" w:after="360" w:afterAutospacing="1" w:line="240" w:lineRule="auto"/>
      <w:ind w:firstLine="482" w:firstLineChars="150"/>
      <w:jc w:val="center"/>
    </w:pPr>
    <w:rPr>
      <w:rFonts w:ascii="Arial" w:hAnsi="Arial" w:eastAsia="黑体" w:cs="Arial"/>
      <w:b w:val="0"/>
      <w:bCs w:val="0"/>
      <w:color w:val="000000" w:themeColor="text1"/>
      <w:kern w:val="36"/>
      <w:sz w:val="32"/>
      <w:szCs w:val="32"/>
      <w:shd w:val="clear" w:color="auto" w:fill="FFFFFF"/>
      <w14:textFill>
        <w14:solidFill>
          <w14:schemeClr w14:val="tx1"/>
        </w14:solidFill>
      </w14:textFill>
    </w:rPr>
  </w:style>
  <w:style w:type="character" w:customStyle="1" w:styleId="11">
    <w:name w:val="标题 1 字符"/>
    <w:basedOn w:val="6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2">
    <w:name w:val="样式3"/>
    <w:basedOn w:val="1"/>
    <w:autoRedefine/>
    <w:qFormat/>
    <w:uiPriority w:val="0"/>
    <w:pPr>
      <w:widowControl/>
      <w:spacing w:before="480" w:after="360"/>
      <w:ind w:firstLine="482" w:firstLineChars="150"/>
      <w:jc w:val="center"/>
    </w:pPr>
    <w:rPr>
      <w:rFonts w:ascii="Arial" w:hAnsi="Arial" w:eastAsia="黑体" w:cs="Arial"/>
      <w:b/>
      <w:bCs/>
      <w:color w:val="000000" w:themeColor="text1"/>
      <w:kern w:val="0"/>
      <w:sz w:val="32"/>
      <w:szCs w:val="32"/>
      <w:shd w:val="clear" w:color="auto" w:fill="FFFFFF"/>
      <w14:textFill>
        <w14:solidFill>
          <w14:schemeClr w14:val="tx1"/>
        </w14:solidFill>
      </w14:textFill>
    </w:rPr>
  </w:style>
  <w:style w:type="paragraph" w:customStyle="1" w:styleId="13">
    <w:name w:val="样式4"/>
    <w:basedOn w:val="1"/>
    <w:autoRedefine/>
    <w:qFormat/>
    <w:uiPriority w:val="0"/>
    <w:pPr>
      <w:widowControl/>
      <w:spacing w:before="480" w:after="120"/>
      <w:jc w:val="center"/>
    </w:pPr>
    <w:rPr>
      <w:rFonts w:ascii="黑体" w:hAnsi="黑体" w:eastAsia="黑体" w:cs="宋体"/>
      <w:b/>
      <w:bCs/>
      <w:kern w:val="0"/>
      <w:sz w:val="28"/>
      <w:szCs w:val="28"/>
    </w:rPr>
  </w:style>
  <w:style w:type="paragraph" w:customStyle="1" w:styleId="14">
    <w:name w:val="样式5"/>
    <w:basedOn w:val="1"/>
    <w:autoRedefine/>
    <w:qFormat/>
    <w:uiPriority w:val="0"/>
    <w:pPr>
      <w:widowControl/>
      <w:spacing w:before="240" w:after="120"/>
      <w:jc w:val="left"/>
    </w:pPr>
    <w:rPr>
      <w:rFonts w:ascii="黑体" w:hAnsi="黑体" w:eastAsia="黑体" w:cs="宋体"/>
      <w:kern w:val="0"/>
      <w:sz w:val="26"/>
      <w:szCs w:val="26"/>
    </w:rPr>
  </w:style>
  <w:style w:type="character" w:customStyle="1" w:styleId="15">
    <w:name w:val="标题 4 字符"/>
    <w:basedOn w:val="6"/>
    <w:link w:val="3"/>
    <w:qFormat/>
    <w:uiPriority w:val="0"/>
    <w:rPr>
      <w:rFonts w:ascii="Cambria" w:hAnsi="Cambria" w:eastAsia="宋体" w:cs="Times New Roman"/>
      <w:b/>
      <w:bCs/>
      <w:spacing w:val="5"/>
      <w:kern w:val="0"/>
      <w:sz w:val="24"/>
      <w:lang w:val="zh-CN"/>
    </w:rPr>
  </w:style>
  <w:style w:type="paragraph" w:customStyle="1" w:styleId="16">
    <w:name w:val="—样式 正文（正在使用）"/>
    <w:basedOn w:val="1"/>
    <w:qFormat/>
    <w:uiPriority w:val="0"/>
    <w:pPr>
      <w:widowControl/>
      <w:spacing w:line="360" w:lineRule="auto"/>
      <w:ind w:firstLine="420" w:firstLineChars="200"/>
      <w:jc w:val="left"/>
    </w:pPr>
    <w:rPr>
      <w:rFonts w:ascii="Cambria" w:hAnsi="Cambria" w:eastAsia="宋体" w:cs="宋体"/>
      <w:color w:val="000000"/>
      <w:kern w:val="0"/>
      <w:sz w:val="22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1287</Words>
  <Characters>1448</Characters>
  <Lines>12</Lines>
  <Paragraphs>3</Paragraphs>
  <TotalTime>4</TotalTime>
  <ScaleCrop>false</ScaleCrop>
  <LinksUpToDate>false</LinksUpToDate>
  <CharactersWithSpaces>1456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2025-07-18T03:57:00Z</dcterms:created>
  <dc:creator>Microsoft Office User</dc:creator>
  <cp:lastModifiedBy>李至</cp:lastModifiedBy>
  <dcterms:modified xsi:type="dcterms:W3CDTF">2025-09-05T06:33:09Z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eyJoZGlkIjoiOTI2ZjJkODQxMTExY2RjMDVjZDU4M2JmMGJlODJhMzkiLCJ1c2VySWQiOiIxNjg2NjA2MjcyIn0=</vt:lpwstr>
  </property>
  <property fmtid="{D5CDD505-2E9C-101B-9397-08002B2CF9AE}" pid="3" name="KSOProductBuildVer">
    <vt:lpwstr>2052-12.1.0.19302</vt:lpwstr>
  </property>
  <property fmtid="{D5CDD505-2E9C-101B-9397-08002B2CF9AE}" pid="4" name="ICV">
    <vt:lpwstr>1904B4A971B84EA0976C4E9CB9043271_12</vt:lpwstr>
  </property>
</Properties>
</file>