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28C79">
      <w:pPr>
        <w:spacing w:before="221" w:line="295" w:lineRule="auto"/>
        <w:ind w:left="2632" w:right="103" w:hanging="2089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7"/>
          <w:sz w:val="43"/>
          <w:szCs w:val="43"/>
        </w:rPr>
        <w:t xml:space="preserve">汉语言文化学院 </w:t>
      </w:r>
      <w:r>
        <w:rPr>
          <w:rFonts w:ascii="Times New Roman" w:hAnsi="Times New Roman" w:eastAsia="Times New Roman" w:cs="Times New Roman"/>
          <w:spacing w:val="7"/>
          <w:sz w:val="43"/>
          <w:szCs w:val="43"/>
        </w:rPr>
        <w:t>202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pacing w:val="7"/>
          <w:sz w:val="43"/>
          <w:szCs w:val="43"/>
          <w:lang w:val="en-US" w:eastAsia="zh-CN"/>
        </w:rPr>
        <w:t>5</w:t>
      </w:r>
      <w:r>
        <w:rPr>
          <w:rFonts w:ascii="微软雅黑" w:hAnsi="微软雅黑" w:eastAsia="微软雅黑" w:cs="微软雅黑"/>
          <w:spacing w:val="7"/>
          <w:sz w:val="43"/>
          <w:szCs w:val="43"/>
        </w:rPr>
        <w:t>年本科学生转专业</w:t>
      </w:r>
      <w:r>
        <w:rPr>
          <w:rFonts w:ascii="微软雅黑" w:hAnsi="微软雅黑" w:eastAsia="微软雅黑" w:cs="微软雅黑"/>
          <w:spacing w:val="8"/>
          <w:sz w:val="43"/>
          <w:szCs w:val="43"/>
        </w:rPr>
        <w:t>细则及接收计划</w:t>
      </w:r>
    </w:p>
    <w:p w14:paraId="5B781E1B">
      <w:pPr>
        <w:spacing w:line="227" w:lineRule="auto"/>
        <w:ind w:left="3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一、转专业工作领导小组</w:t>
      </w:r>
    </w:p>
    <w:p w14:paraId="7F164DBA">
      <w:pPr>
        <w:pStyle w:val="2"/>
        <w:spacing w:before="242" w:line="228" w:lineRule="auto"/>
        <w:ind w:left="683"/>
      </w:pPr>
      <w:r>
        <w:rPr>
          <w:spacing w:val="8"/>
        </w:rPr>
        <w:t>刘佳</w:t>
      </w:r>
      <w:r>
        <w:rPr>
          <w:rFonts w:hint="eastAsia"/>
          <w:spacing w:val="8"/>
          <w:lang w:eastAsia="zh-CN"/>
        </w:rPr>
        <w:t>（</w:t>
      </w:r>
      <w:r>
        <w:rPr>
          <w:rFonts w:hint="eastAsia"/>
          <w:spacing w:val="8"/>
          <w:lang w:val="en-US" w:eastAsia="zh-CN"/>
        </w:rPr>
        <w:t>组长</w:t>
      </w:r>
      <w:r>
        <w:rPr>
          <w:rFonts w:hint="eastAsia"/>
          <w:spacing w:val="8"/>
          <w:lang w:eastAsia="zh-CN"/>
        </w:rPr>
        <w:t>）</w:t>
      </w:r>
      <w:r>
        <w:rPr>
          <w:spacing w:val="8"/>
        </w:rPr>
        <w:t>、李营、王红厂、温宝莹、梁磊</w:t>
      </w:r>
    </w:p>
    <w:p w14:paraId="2DDB474B">
      <w:pPr>
        <w:spacing w:before="241" w:line="227" w:lineRule="auto"/>
        <w:ind w:left="3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二、转出条件</w:t>
      </w:r>
    </w:p>
    <w:p w14:paraId="61597E8D">
      <w:pPr>
        <w:pStyle w:val="2"/>
        <w:spacing w:before="243" w:line="354" w:lineRule="auto"/>
        <w:ind w:left="67" w:right="21" w:firstLine="623"/>
      </w:pPr>
      <w:r>
        <w:rPr>
          <w:spacing w:val="7"/>
        </w:rPr>
        <w:t>除《南开大学本科生转专业管理办法》规定的不允许转</w:t>
      </w:r>
      <w:r>
        <w:rPr>
          <w:spacing w:val="17"/>
        </w:rPr>
        <w:t xml:space="preserve"> </w:t>
      </w:r>
      <w:r>
        <w:rPr>
          <w:spacing w:val="6"/>
        </w:rPr>
        <w:t>出的情形外，学院学生转出无其他限制。</w:t>
      </w:r>
    </w:p>
    <w:p w14:paraId="38C42D94">
      <w:pPr>
        <w:spacing w:before="58" w:line="227" w:lineRule="auto"/>
        <w:ind w:left="3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三、转入基本申请条件</w:t>
      </w:r>
    </w:p>
    <w:p w14:paraId="17C8F1EC">
      <w:pPr>
        <w:pStyle w:val="2"/>
        <w:spacing w:before="243" w:line="360" w:lineRule="auto"/>
        <w:ind w:left="6"/>
        <w:rPr>
          <w:sz w:val="30"/>
          <w:szCs w:val="30"/>
        </w:rPr>
      </w:pPr>
      <w:r>
        <w:rPr>
          <w:spacing w:val="8"/>
          <w:sz w:val="30"/>
          <w:szCs w:val="30"/>
        </w:rPr>
        <w:t>“汉语国际教育</w:t>
      </w:r>
      <w:r>
        <w:rPr>
          <w:spacing w:val="-109"/>
          <w:sz w:val="30"/>
          <w:szCs w:val="30"/>
        </w:rPr>
        <w:t xml:space="preserve"> </w:t>
      </w:r>
      <w:r>
        <w:rPr>
          <w:spacing w:val="8"/>
          <w:sz w:val="30"/>
          <w:szCs w:val="30"/>
        </w:rPr>
        <w:t>”专业（中国本科）学生转入条件如下：</w:t>
      </w:r>
    </w:p>
    <w:p w14:paraId="084CCE8E">
      <w:pPr>
        <w:pStyle w:val="2"/>
        <w:spacing w:line="360" w:lineRule="auto"/>
        <w:ind w:left="0"/>
        <w:rPr>
          <w:rFonts w:hint="eastAsia" w:eastAsia="仿宋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val="en-US" w:eastAsia="zh-CN"/>
        </w:rPr>
        <w:t>1、</w:t>
      </w:r>
      <w:r>
        <w:rPr>
          <w:sz w:val="30"/>
          <w:szCs w:val="30"/>
        </w:rPr>
        <w:t>已修通识必修课均合格</w:t>
      </w:r>
      <w:r>
        <w:rPr>
          <w:rFonts w:hint="eastAsia"/>
          <w:sz w:val="30"/>
          <w:szCs w:val="30"/>
          <w:lang w:eastAsia="zh-CN"/>
        </w:rPr>
        <w:t>；</w:t>
      </w:r>
    </w:p>
    <w:p w14:paraId="747113A4">
      <w:pPr>
        <w:pStyle w:val="2"/>
        <w:spacing w:line="360" w:lineRule="auto"/>
        <w:jc w:val="both"/>
        <w:rPr>
          <w:rFonts w:hint="default" w:eastAsia="仿宋"/>
          <w:spacing w:val="5"/>
          <w:sz w:val="30"/>
          <w:szCs w:val="30"/>
          <w:lang w:val="en-US" w:eastAsia="zh-CN"/>
        </w:rPr>
      </w:pPr>
      <w:r>
        <w:rPr>
          <w:rFonts w:hint="eastAsia"/>
          <w:spacing w:val="5"/>
          <w:sz w:val="30"/>
          <w:szCs w:val="30"/>
          <w:lang w:val="en-US" w:eastAsia="zh-CN"/>
        </w:rPr>
        <w:t>2、</w:t>
      </w:r>
      <w:r>
        <w:rPr>
          <w:rFonts w:hint="eastAsia"/>
          <w:b/>
          <w:bCs/>
          <w:spacing w:val="5"/>
          <w:sz w:val="30"/>
          <w:szCs w:val="30"/>
          <w:lang w:val="en-US" w:eastAsia="zh-CN"/>
        </w:rPr>
        <w:t>2023、2024级</w:t>
      </w:r>
      <w:r>
        <w:rPr>
          <w:rFonts w:hint="eastAsia"/>
          <w:spacing w:val="5"/>
          <w:sz w:val="30"/>
          <w:szCs w:val="30"/>
          <w:lang w:val="en-US" w:eastAsia="zh-CN"/>
        </w:rPr>
        <w:t>：</w:t>
      </w:r>
      <w:r>
        <w:rPr>
          <w:spacing w:val="5"/>
          <w:sz w:val="30"/>
          <w:szCs w:val="30"/>
        </w:rPr>
        <w:t>通识必修课、专业必修课的平均学分绩点不得低于</w:t>
      </w:r>
      <w:r>
        <w:rPr>
          <w:spacing w:val="-46"/>
          <w:sz w:val="30"/>
          <w:szCs w:val="30"/>
        </w:rPr>
        <w:t xml:space="preserve"> </w:t>
      </w:r>
      <w:r>
        <w:rPr>
          <w:spacing w:val="5"/>
          <w:sz w:val="30"/>
          <w:szCs w:val="30"/>
        </w:rPr>
        <w:t>2.0；</w:t>
      </w:r>
      <w:r>
        <w:rPr>
          <w:rFonts w:hint="eastAsia"/>
          <w:b/>
          <w:bCs/>
          <w:spacing w:val="5"/>
          <w:sz w:val="30"/>
          <w:szCs w:val="30"/>
          <w:lang w:val="en-US" w:eastAsia="zh-CN"/>
        </w:rPr>
        <w:t>2021、2022级</w:t>
      </w:r>
      <w:r>
        <w:rPr>
          <w:rFonts w:hint="eastAsia"/>
          <w:spacing w:val="5"/>
          <w:sz w:val="30"/>
          <w:szCs w:val="30"/>
          <w:lang w:val="en-US" w:eastAsia="zh-CN"/>
        </w:rPr>
        <w:t>：</w:t>
      </w:r>
      <w:r>
        <w:rPr>
          <w:spacing w:val="5"/>
          <w:sz w:val="30"/>
          <w:szCs w:val="30"/>
        </w:rPr>
        <w:t>通识必修课、专业必修课的学分绩不得低于</w:t>
      </w:r>
      <w:r>
        <w:rPr>
          <w:rFonts w:hint="eastAsia"/>
          <w:spacing w:val="5"/>
          <w:sz w:val="30"/>
          <w:szCs w:val="30"/>
          <w:lang w:val="en-US" w:eastAsia="zh-CN"/>
        </w:rPr>
        <w:t>70。</w:t>
      </w:r>
    </w:p>
    <w:p w14:paraId="6DCBAEEF">
      <w:pPr>
        <w:spacing w:before="243" w:line="226" w:lineRule="auto"/>
        <w:ind w:left="45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四、选拔流程</w:t>
      </w:r>
    </w:p>
    <w:p w14:paraId="70493A0B">
      <w:pPr>
        <w:pStyle w:val="2"/>
        <w:spacing w:before="245" w:line="226" w:lineRule="auto"/>
        <w:ind w:left="39"/>
      </w:pPr>
      <w:r>
        <w:rPr>
          <w:spacing w:val="7"/>
        </w:rPr>
        <w:t>（一）确定复试名单</w:t>
      </w:r>
    </w:p>
    <w:p w14:paraId="3F35061D">
      <w:pPr>
        <w:pStyle w:val="2"/>
        <w:spacing w:before="244" w:line="228" w:lineRule="auto"/>
        <w:ind w:left="39"/>
      </w:pPr>
      <w:r>
        <w:rPr>
          <w:spacing w:val="7"/>
        </w:rPr>
        <w:t>（二）复试考核形式</w:t>
      </w:r>
    </w:p>
    <w:p w14:paraId="53E412E6">
      <w:pPr>
        <w:pStyle w:val="2"/>
        <w:spacing w:before="242" w:line="361" w:lineRule="auto"/>
        <w:ind w:left="1312" w:right="19" w:hanging="1264"/>
      </w:pPr>
      <w:r>
        <w:rPr>
          <w:spacing w:val="2"/>
        </w:rPr>
        <w:t>1.笔试：考试时间为100</w:t>
      </w:r>
      <w:r>
        <w:rPr>
          <w:spacing w:val="-50"/>
        </w:rPr>
        <w:t xml:space="preserve"> </w:t>
      </w:r>
      <w:r>
        <w:rPr>
          <w:spacing w:val="2"/>
        </w:rPr>
        <w:t>分钟，满分100</w:t>
      </w:r>
      <w:r>
        <w:rPr>
          <w:spacing w:val="-49"/>
        </w:rPr>
        <w:t xml:space="preserve"> </w:t>
      </w:r>
      <w:r>
        <w:rPr>
          <w:spacing w:val="2"/>
        </w:rPr>
        <w:t>分，笔试成绩占综</w:t>
      </w:r>
      <w:r>
        <w:t xml:space="preserve"> </w:t>
      </w:r>
      <w:r>
        <w:rPr>
          <w:spacing w:val="7"/>
        </w:rPr>
        <w:t>合成绩的50%。考试内容是外汉翻译、汉语写作和</w:t>
      </w:r>
      <w:r>
        <w:t xml:space="preserve"> </w:t>
      </w:r>
      <w:r>
        <w:rPr>
          <w:spacing w:val="6"/>
        </w:rPr>
        <w:t>语言文学基础知识。</w:t>
      </w:r>
    </w:p>
    <w:p w14:paraId="6292A942">
      <w:pPr>
        <w:pStyle w:val="2"/>
        <w:spacing w:before="55" w:line="360" w:lineRule="auto"/>
        <w:ind w:left="1313" w:right="19" w:hanging="1283"/>
      </w:pPr>
      <w:r>
        <w:rPr>
          <w:rFonts w:ascii="宋体" w:hAnsi="宋体" w:eastAsia="宋体" w:cs="宋体"/>
          <w:spacing w:val="4"/>
        </w:rPr>
        <w:t>2.</w:t>
      </w:r>
      <w:r>
        <w:rPr>
          <w:spacing w:val="4"/>
        </w:rPr>
        <w:t>面试：面试时间每人</w:t>
      </w:r>
      <w:r>
        <w:rPr>
          <w:rFonts w:ascii="宋体" w:hAnsi="宋体" w:eastAsia="宋体" w:cs="宋体"/>
          <w:spacing w:val="4"/>
        </w:rPr>
        <w:t>15</w:t>
      </w:r>
      <w:r>
        <w:rPr>
          <w:rFonts w:ascii="宋体" w:hAnsi="宋体" w:eastAsia="宋体" w:cs="宋体"/>
          <w:spacing w:val="-52"/>
        </w:rPr>
        <w:t xml:space="preserve"> </w:t>
      </w:r>
      <w:r>
        <w:rPr>
          <w:spacing w:val="4"/>
        </w:rPr>
        <w:t>分钟，满分</w:t>
      </w:r>
      <w:r>
        <w:rPr>
          <w:rFonts w:ascii="宋体" w:hAnsi="宋体" w:eastAsia="宋体" w:cs="宋体"/>
          <w:spacing w:val="4"/>
        </w:rPr>
        <w:t>1</w:t>
      </w:r>
      <w:r>
        <w:rPr>
          <w:rFonts w:ascii="宋体" w:hAnsi="宋体" w:eastAsia="宋体" w:cs="宋体"/>
          <w:spacing w:val="3"/>
        </w:rPr>
        <w:t>00</w:t>
      </w:r>
      <w:r>
        <w:rPr>
          <w:rFonts w:ascii="宋体" w:hAnsi="宋体" w:eastAsia="宋体" w:cs="宋体"/>
          <w:spacing w:val="-50"/>
        </w:rPr>
        <w:t xml:space="preserve"> </w:t>
      </w:r>
      <w:r>
        <w:rPr>
          <w:spacing w:val="3"/>
        </w:rPr>
        <w:t>分，面试成绩占</w:t>
      </w:r>
      <w:r>
        <w:rPr>
          <w:spacing w:val="7"/>
        </w:rPr>
        <w:t>综合成绩的</w:t>
      </w:r>
      <w:r>
        <w:rPr>
          <w:rFonts w:ascii="宋体" w:hAnsi="宋体" w:eastAsia="宋体" w:cs="宋体"/>
          <w:spacing w:val="7"/>
        </w:rPr>
        <w:t>50%</w:t>
      </w:r>
      <w:r>
        <w:rPr>
          <w:rFonts w:hint="eastAsia" w:ascii="宋体" w:hAnsi="宋体" w:eastAsia="宋体" w:cs="宋体"/>
          <w:spacing w:val="7"/>
          <w:lang w:eastAsia="zh-CN"/>
        </w:rPr>
        <w:t>。</w:t>
      </w:r>
      <w:r>
        <w:rPr>
          <w:spacing w:val="7"/>
        </w:rPr>
        <w:t>考试内容是高中阶段文科基础知</w:t>
      </w:r>
      <w:r>
        <w:rPr>
          <w:spacing w:val="5"/>
        </w:rPr>
        <w:t>识（包括诗歌、文学作品、字词读音释义、</w:t>
      </w:r>
      <w:r>
        <w:rPr>
          <w:spacing w:val="-81"/>
        </w:rPr>
        <w:t xml:space="preserve"> </w:t>
      </w:r>
      <w:r>
        <w:rPr>
          <w:spacing w:val="5"/>
        </w:rPr>
        <w:t>中国文</w:t>
      </w:r>
    </w:p>
    <w:p w14:paraId="4AFDA1FB">
      <w:pPr>
        <w:spacing w:line="360" w:lineRule="auto"/>
        <w:sectPr>
          <w:pgSz w:w="11906" w:h="16839"/>
          <w:pgMar w:top="1431" w:right="1780" w:bottom="0" w:left="1785" w:header="0" w:footer="0" w:gutter="0"/>
          <w:cols w:space="720" w:num="1"/>
        </w:sectPr>
      </w:pPr>
    </w:p>
    <w:p w14:paraId="6E7E17F5">
      <w:pPr>
        <w:pStyle w:val="2"/>
        <w:spacing w:before="162" w:line="228" w:lineRule="auto"/>
        <w:ind w:left="1316"/>
      </w:pPr>
      <w:r>
        <w:rPr>
          <w:spacing w:val="-15"/>
        </w:rPr>
        <w:t>化常识等）。</w:t>
      </w:r>
    </w:p>
    <w:p w14:paraId="7E1398AD">
      <w:pPr>
        <w:pStyle w:val="2"/>
        <w:spacing w:before="241" w:line="228" w:lineRule="auto"/>
        <w:ind w:left="40"/>
      </w:pPr>
      <w:r>
        <w:rPr>
          <w:spacing w:val="4"/>
        </w:rPr>
        <w:t>（三）录取</w:t>
      </w:r>
    </w:p>
    <w:p w14:paraId="75E6F73F">
      <w:pPr>
        <w:pStyle w:val="2"/>
        <w:spacing w:before="242" w:line="361" w:lineRule="auto"/>
        <w:ind w:left="247" w:right="911" w:hanging="214"/>
      </w:pPr>
      <w:r>
        <w:rPr>
          <w:rFonts w:ascii="宋体" w:hAnsi="宋体" w:eastAsia="宋体" w:cs="宋体"/>
          <w:spacing w:val="-8"/>
        </w:rPr>
        <w:t>3.</w:t>
      </w:r>
      <w:r>
        <w:rPr>
          <w:spacing w:val="-8"/>
        </w:rPr>
        <w:t>成绩计算规则：综合成绩</w:t>
      </w:r>
      <w:r>
        <w:rPr>
          <w:rFonts w:ascii="宋体" w:hAnsi="宋体" w:eastAsia="宋体" w:cs="宋体"/>
          <w:spacing w:val="-8"/>
        </w:rPr>
        <w:t>=</w:t>
      </w:r>
      <w:r>
        <w:rPr>
          <w:spacing w:val="-8"/>
        </w:rPr>
        <w:t>笔试成绩（</w:t>
      </w:r>
      <w:r>
        <w:rPr>
          <w:rFonts w:ascii="宋体" w:hAnsi="宋体" w:eastAsia="宋体" w:cs="宋体"/>
          <w:spacing w:val="-8"/>
        </w:rPr>
        <w:t>50%</w:t>
      </w:r>
      <w:r>
        <w:rPr>
          <w:spacing w:val="-8"/>
        </w:rPr>
        <w:t>）</w:t>
      </w:r>
      <w:r>
        <w:rPr>
          <w:rFonts w:ascii="宋体" w:hAnsi="宋体" w:eastAsia="宋体" w:cs="宋体"/>
          <w:spacing w:val="-8"/>
        </w:rPr>
        <w:t>+</w:t>
      </w:r>
      <w:r>
        <w:rPr>
          <w:spacing w:val="-8"/>
        </w:rPr>
        <w:t>面试成绩（</w:t>
      </w:r>
      <w:r>
        <w:rPr>
          <w:rFonts w:ascii="宋体" w:hAnsi="宋体" w:eastAsia="宋体" w:cs="宋体"/>
          <w:spacing w:val="-8"/>
        </w:rPr>
        <w:t>50%</w:t>
      </w:r>
      <w:r>
        <w:rPr>
          <w:spacing w:val="-8"/>
        </w:rPr>
        <w:t>）</w:t>
      </w:r>
      <w:r>
        <w:rPr>
          <w:spacing w:val="3"/>
        </w:rPr>
        <w:t xml:space="preserve"> </w:t>
      </w:r>
      <w:r>
        <w:rPr>
          <w:spacing w:val="6"/>
        </w:rPr>
        <w:t>综合成绩不合格者（低于</w:t>
      </w:r>
      <w:r>
        <w:rPr>
          <w:spacing w:val="-43"/>
        </w:rPr>
        <w:t xml:space="preserve"> </w:t>
      </w:r>
      <w:r>
        <w:rPr>
          <w:rFonts w:ascii="宋体" w:hAnsi="宋体" w:eastAsia="宋体" w:cs="宋体"/>
          <w:spacing w:val="6"/>
        </w:rPr>
        <w:t>60</w:t>
      </w:r>
      <w:r>
        <w:rPr>
          <w:rFonts w:ascii="宋体" w:hAnsi="宋体" w:eastAsia="宋体" w:cs="宋体"/>
          <w:spacing w:val="-50"/>
        </w:rPr>
        <w:t xml:space="preserve"> </w:t>
      </w:r>
      <w:r>
        <w:rPr>
          <w:spacing w:val="6"/>
        </w:rPr>
        <w:t>分）不予录取，合格者（</w:t>
      </w:r>
      <w:r>
        <w:rPr>
          <w:rFonts w:ascii="宋体" w:hAnsi="宋体" w:eastAsia="宋体" w:cs="宋体"/>
          <w:spacing w:val="6"/>
        </w:rPr>
        <w:t>60</w:t>
      </w:r>
      <w:r>
        <w:rPr>
          <w:rFonts w:ascii="宋体" w:hAnsi="宋体" w:eastAsia="宋体" w:cs="宋体"/>
        </w:rPr>
        <w:t xml:space="preserve">   </w:t>
      </w:r>
      <w:r>
        <w:rPr>
          <w:spacing w:val="6"/>
        </w:rPr>
        <w:t>分以上）按排名依次录取。</w:t>
      </w:r>
    </w:p>
    <w:p w14:paraId="627B93F1">
      <w:pPr>
        <w:pStyle w:val="2"/>
        <w:spacing w:before="49" w:line="364" w:lineRule="auto"/>
        <w:ind w:left="353" w:right="1044" w:hanging="329"/>
        <w:rPr>
          <w:spacing w:val="6"/>
        </w:rPr>
      </w:pPr>
      <w:r>
        <w:rPr>
          <w:spacing w:val="8"/>
        </w:rPr>
        <w:t>4.拟录取名单公示:</w:t>
      </w:r>
      <w:r>
        <w:rPr>
          <w:spacing w:val="-39"/>
        </w:rPr>
        <w:t xml:space="preserve"> </w:t>
      </w:r>
      <w:r>
        <w:rPr>
          <w:spacing w:val="8"/>
        </w:rPr>
        <w:t>拟录取名单将于复试后在学院网站上进</w:t>
      </w:r>
      <w:r>
        <w:t xml:space="preserve"> </w:t>
      </w:r>
      <w:r>
        <w:rPr>
          <w:spacing w:val="8"/>
        </w:rPr>
        <w:t>行公示，公示期为七个工作日。公示期内，如遇被举报有</w:t>
      </w:r>
      <w:r>
        <w:rPr>
          <w:spacing w:val="15"/>
        </w:rPr>
        <w:t xml:space="preserve"> </w:t>
      </w:r>
      <w:r>
        <w:rPr>
          <w:spacing w:val="8"/>
        </w:rPr>
        <w:t>违规或作弊行为的考生，不论何时</w:t>
      </w:r>
      <w:r>
        <w:rPr>
          <w:rFonts w:hint="eastAsia"/>
          <w:spacing w:val="8"/>
          <w:lang w:eastAsia="zh-CN"/>
        </w:rPr>
        <w:t>，</w:t>
      </w:r>
      <w:r>
        <w:rPr>
          <w:spacing w:val="8"/>
        </w:rPr>
        <w:t>一经查实，即按有关</w:t>
      </w:r>
      <w:r>
        <w:rPr>
          <w:spacing w:val="13"/>
        </w:rPr>
        <w:t xml:space="preserve"> </w:t>
      </w:r>
      <w:r>
        <w:rPr>
          <w:spacing w:val="6"/>
        </w:rPr>
        <w:t>规定取消录取资格。</w:t>
      </w:r>
    </w:p>
    <w:p w14:paraId="6ADD5B9E">
      <w:pPr>
        <w:spacing w:before="155" w:line="227" w:lineRule="auto"/>
        <w:ind w:left="37"/>
        <w:rPr>
          <w:rFonts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8"/>
          <w:sz w:val="31"/>
          <w:szCs w:val="31"/>
          <w:lang w:val="en-US" w:eastAsia="zh-CN"/>
        </w:rPr>
        <w:t>五</w:t>
      </w:r>
      <w:r>
        <w:rPr>
          <w:rFonts w:ascii="黑体" w:hAnsi="黑体" w:eastAsia="黑体" w:cs="黑体"/>
          <w:spacing w:val="8"/>
          <w:sz w:val="31"/>
          <w:szCs w:val="31"/>
        </w:rPr>
        <w:t>、争议情况处理及解释权归属</w:t>
      </w:r>
    </w:p>
    <w:p w14:paraId="31FD48E9">
      <w:pPr>
        <w:pStyle w:val="2"/>
        <w:spacing w:before="242" w:line="360" w:lineRule="auto"/>
        <w:ind w:left="35" w:right="1047" w:firstLine="642"/>
        <w:jc w:val="both"/>
      </w:pPr>
      <w:r>
        <w:rPr>
          <w:spacing w:val="6"/>
        </w:rPr>
        <w:t>本办法由“汉语言文化学院转专业工作领导小组</w:t>
      </w:r>
      <w:r>
        <w:rPr>
          <w:spacing w:val="-100"/>
        </w:rPr>
        <w:t xml:space="preserve"> </w:t>
      </w:r>
      <w:r>
        <w:rPr>
          <w:spacing w:val="6"/>
        </w:rPr>
        <w:t>”负责</w:t>
      </w:r>
      <w:r>
        <w:t xml:space="preserve"> </w:t>
      </w:r>
      <w:r>
        <w:rPr>
          <w:spacing w:val="8"/>
        </w:rPr>
        <w:t>解释。学生对综合成绩有异议者，应当于公示期内，以书面</w:t>
      </w:r>
      <w:r>
        <w:rPr>
          <w:spacing w:val="13"/>
        </w:rPr>
        <w:t xml:space="preserve"> </w:t>
      </w:r>
      <w:r>
        <w:rPr>
          <w:spacing w:val="8"/>
        </w:rPr>
        <w:t>形式向学院转专业工作领导小组提交复议申请。</w:t>
      </w:r>
    </w:p>
    <w:p w14:paraId="3D42D1FF">
      <w:pPr>
        <w:spacing w:before="53" w:line="228" w:lineRule="auto"/>
        <w:ind w:left="35"/>
        <w:rPr>
          <w:rFonts w:ascii="黑体" w:hAnsi="黑体" w:eastAsia="黑体" w:cs="黑体"/>
          <w:sz w:val="31"/>
          <w:szCs w:val="31"/>
        </w:rPr>
      </w:pPr>
      <w:r>
        <w:rPr>
          <w:rFonts w:hint="eastAsia" w:ascii="黑体" w:hAnsi="黑体" w:eastAsia="黑体" w:cs="黑体"/>
          <w:spacing w:val="6"/>
          <w:sz w:val="31"/>
          <w:szCs w:val="31"/>
          <w:lang w:val="en-US" w:eastAsia="zh-CN"/>
        </w:rPr>
        <w:t>六</w:t>
      </w:r>
      <w:r>
        <w:rPr>
          <w:rFonts w:ascii="黑体" w:hAnsi="黑体" w:eastAsia="黑体" w:cs="黑体"/>
          <w:spacing w:val="6"/>
          <w:sz w:val="31"/>
          <w:szCs w:val="31"/>
        </w:rPr>
        <w:t>、接收计划</w:t>
      </w:r>
    </w:p>
    <w:p w14:paraId="088AF687">
      <w:pPr>
        <w:spacing w:line="87" w:lineRule="exact"/>
      </w:pPr>
    </w:p>
    <w:tbl>
      <w:tblPr>
        <w:tblStyle w:val="5"/>
        <w:tblW w:w="93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6"/>
        <w:gridCol w:w="1599"/>
        <w:gridCol w:w="3390"/>
        <w:gridCol w:w="1705"/>
      </w:tblGrid>
      <w:tr w14:paraId="116798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</w:trPr>
        <w:tc>
          <w:tcPr>
            <w:tcW w:w="2666" w:type="dxa"/>
            <w:vAlign w:val="center"/>
          </w:tcPr>
          <w:p w14:paraId="19C6C646">
            <w:pPr>
              <w:spacing w:before="166" w:line="324" w:lineRule="auto"/>
              <w:ind w:left="556" w:right="557" w:firstLine="157"/>
              <w:jc w:val="center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接收专业</w:t>
            </w:r>
          </w:p>
        </w:tc>
        <w:tc>
          <w:tcPr>
            <w:tcW w:w="1599" w:type="dxa"/>
            <w:vAlign w:val="top"/>
          </w:tcPr>
          <w:p w14:paraId="1376339B">
            <w:pPr>
              <w:spacing w:line="376" w:lineRule="auto"/>
              <w:rPr>
                <w:rFonts w:ascii="Arial"/>
                <w:sz w:val="21"/>
              </w:rPr>
            </w:pPr>
          </w:p>
          <w:p w14:paraId="5A98A8AB">
            <w:pPr>
              <w:spacing w:before="101" w:line="228" w:lineRule="auto"/>
              <w:ind w:left="178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>接收年级</w:t>
            </w:r>
          </w:p>
        </w:tc>
        <w:tc>
          <w:tcPr>
            <w:tcW w:w="3390" w:type="dxa"/>
            <w:vAlign w:val="top"/>
          </w:tcPr>
          <w:p w14:paraId="1C57E480">
            <w:pPr>
              <w:spacing w:before="166" w:line="324" w:lineRule="auto"/>
              <w:ind w:left="593" w:right="6" w:hanging="56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6"/>
                <w:sz w:val="31"/>
                <w:szCs w:val="31"/>
              </w:rPr>
              <w:t>接收人数（不同年级分别</w:t>
            </w:r>
            <w:r>
              <w:rPr>
                <w:rFonts w:ascii="仿宋" w:hAnsi="仿宋" w:eastAsia="仿宋" w:cs="仿宋"/>
                <w:spacing w:val="4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31"/>
                <w:szCs w:val="31"/>
              </w:rPr>
              <w:t>标注接收人数）</w:t>
            </w:r>
          </w:p>
        </w:tc>
        <w:tc>
          <w:tcPr>
            <w:tcW w:w="1705" w:type="dxa"/>
            <w:vAlign w:val="top"/>
          </w:tcPr>
          <w:p w14:paraId="19D2301C">
            <w:pPr>
              <w:spacing w:line="377" w:lineRule="auto"/>
              <w:rPr>
                <w:rFonts w:ascii="Arial"/>
                <w:sz w:val="21"/>
              </w:rPr>
            </w:pPr>
          </w:p>
          <w:p w14:paraId="43ECCD32">
            <w:pPr>
              <w:spacing w:before="100" w:line="230" w:lineRule="auto"/>
              <w:ind w:left="55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-3"/>
                <w:sz w:val="31"/>
                <w:szCs w:val="31"/>
              </w:rPr>
              <w:t>备注</w:t>
            </w:r>
          </w:p>
        </w:tc>
      </w:tr>
      <w:tr w14:paraId="5C5F6C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2666" w:type="dxa"/>
            <w:vMerge w:val="restart"/>
            <w:vAlign w:val="center"/>
          </w:tcPr>
          <w:p w14:paraId="748FD624">
            <w:pPr>
              <w:spacing w:before="299" w:line="228" w:lineRule="auto"/>
              <w:ind w:firstLine="322" w:firstLineChars="100"/>
              <w:jc w:val="both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pacing w:val="6"/>
                <w:sz w:val="31"/>
                <w:szCs w:val="31"/>
              </w:rPr>
              <w:t>汉语国际教育</w:t>
            </w:r>
          </w:p>
        </w:tc>
        <w:tc>
          <w:tcPr>
            <w:tcW w:w="1599" w:type="dxa"/>
            <w:vAlign w:val="top"/>
          </w:tcPr>
          <w:p w14:paraId="60A0CB54">
            <w:pPr>
              <w:spacing w:before="300" w:line="229" w:lineRule="auto"/>
              <w:ind w:left="283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31"/>
                <w:szCs w:val="31"/>
              </w:rPr>
              <w:t>202</w:t>
            </w:r>
            <w:r>
              <w:rPr>
                <w:rFonts w:hint="eastAsia" w:ascii="Times New Roman" w:hAnsi="Times New Roman" w:eastAsia="宋体" w:cs="Times New Roman"/>
                <w:spacing w:val="2"/>
                <w:sz w:val="31"/>
                <w:szCs w:val="31"/>
                <w:lang w:val="en-US" w:eastAsia="zh-CN"/>
              </w:rPr>
              <w:t>4</w:t>
            </w:r>
            <w:r>
              <w:rPr>
                <w:rFonts w:ascii="Times New Roman" w:hAnsi="Times New Roman" w:eastAsia="Times New Roman" w:cs="Times New Roman"/>
                <w:spacing w:val="29"/>
                <w:sz w:val="31"/>
                <w:szCs w:val="31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31"/>
                <w:szCs w:val="31"/>
              </w:rPr>
              <w:t>级</w:t>
            </w:r>
          </w:p>
        </w:tc>
        <w:tc>
          <w:tcPr>
            <w:tcW w:w="3390" w:type="dxa"/>
            <w:vAlign w:val="top"/>
          </w:tcPr>
          <w:p w14:paraId="2F540EBF">
            <w:pPr>
              <w:spacing w:line="265" w:lineRule="auto"/>
              <w:rPr>
                <w:rFonts w:ascii="Arial"/>
                <w:sz w:val="21"/>
              </w:rPr>
            </w:pPr>
          </w:p>
          <w:p w14:paraId="25DBF849">
            <w:pPr>
              <w:spacing w:before="89" w:line="192" w:lineRule="auto"/>
              <w:ind w:left="1619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sz w:val="31"/>
                <w:szCs w:val="31"/>
              </w:rPr>
              <w:t>2</w:t>
            </w:r>
          </w:p>
        </w:tc>
        <w:tc>
          <w:tcPr>
            <w:tcW w:w="1705" w:type="dxa"/>
            <w:vAlign w:val="top"/>
          </w:tcPr>
          <w:p w14:paraId="4D8DDA7B">
            <w:pPr>
              <w:rPr>
                <w:rFonts w:ascii="Arial"/>
                <w:sz w:val="21"/>
              </w:rPr>
            </w:pPr>
          </w:p>
        </w:tc>
      </w:tr>
      <w:tr w14:paraId="25553E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08" w:hRule="atLeast"/>
        </w:trPr>
        <w:tc>
          <w:tcPr>
            <w:tcW w:w="2666" w:type="dxa"/>
            <w:vMerge w:val="continue"/>
            <w:tcBorders/>
            <w:vAlign w:val="top"/>
          </w:tcPr>
          <w:p w14:paraId="1B8F1CBD">
            <w:pPr>
              <w:spacing w:before="299" w:line="228" w:lineRule="auto"/>
              <w:ind w:left="393"/>
              <w:rPr>
                <w:rFonts w:ascii="仿宋" w:hAnsi="仿宋" w:eastAsia="仿宋" w:cs="仿宋"/>
                <w:spacing w:val="6"/>
                <w:sz w:val="31"/>
                <w:szCs w:val="31"/>
              </w:rPr>
            </w:pPr>
          </w:p>
        </w:tc>
        <w:tc>
          <w:tcPr>
            <w:tcW w:w="1599" w:type="dxa"/>
            <w:vAlign w:val="center"/>
          </w:tcPr>
          <w:p w14:paraId="310B3B99">
            <w:pPr>
              <w:spacing w:before="300" w:line="229" w:lineRule="auto"/>
              <w:ind w:left="283"/>
              <w:rPr>
                <w:rFonts w:hint="default" w:ascii="Times New Roman" w:hAnsi="Times New Roman" w:eastAsia="宋体" w:cs="Times New Roman"/>
                <w:spacing w:val="2"/>
                <w:sz w:val="31"/>
                <w:szCs w:val="31"/>
                <w:lang w:val="en-US" w:eastAsia="zh-CN"/>
              </w:rPr>
            </w:pPr>
            <w:r>
              <w:rPr>
                <w:rFonts w:hint="eastAsia" w:ascii="Times New Roman" w:hAnsi="Times New Roman" w:eastAsia="Times New Roman" w:cs="Times New Roman"/>
                <w:spacing w:val="2"/>
                <w:sz w:val="31"/>
                <w:szCs w:val="31"/>
                <w:lang w:val="en-US" w:eastAsia="zh-CN"/>
              </w:rPr>
              <w:t>2023</w:t>
            </w:r>
            <w:r>
              <w:rPr>
                <w:rFonts w:hint="eastAsia" w:ascii="仿宋" w:hAnsi="仿宋" w:eastAsia="仿宋" w:cs="仿宋"/>
                <w:spacing w:val="2"/>
                <w:sz w:val="31"/>
                <w:szCs w:val="31"/>
                <w:lang w:val="en-US" w:eastAsia="zh-CN"/>
              </w:rPr>
              <w:t>级及以上</w:t>
            </w:r>
          </w:p>
        </w:tc>
        <w:tc>
          <w:tcPr>
            <w:tcW w:w="3390" w:type="dxa"/>
            <w:vAlign w:val="center"/>
          </w:tcPr>
          <w:p w14:paraId="7869363B">
            <w:pPr>
              <w:spacing w:before="89" w:line="192" w:lineRule="auto"/>
              <w:ind w:left="1619"/>
              <w:jc w:val="both"/>
              <w:rPr>
                <w:rFonts w:hint="eastAsia" w:ascii="Times New Roman" w:hAnsi="Times New Roman" w:eastAsia="宋体" w:cs="Times New Roman"/>
                <w:sz w:val="31"/>
                <w:szCs w:val="3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31"/>
                <w:szCs w:val="31"/>
                <w:lang w:val="en-US" w:eastAsia="zh-CN"/>
              </w:rPr>
              <w:t>4</w:t>
            </w:r>
          </w:p>
        </w:tc>
        <w:tc>
          <w:tcPr>
            <w:tcW w:w="1705" w:type="dxa"/>
            <w:vAlign w:val="top"/>
          </w:tcPr>
          <w:p w14:paraId="15341853">
            <w:pPr>
              <w:rPr>
                <w:rFonts w:ascii="Arial"/>
                <w:sz w:val="21"/>
              </w:rPr>
            </w:pPr>
          </w:p>
        </w:tc>
      </w:tr>
    </w:tbl>
    <w:p w14:paraId="7F36F92A">
      <w:pPr>
        <w:spacing w:line="299" w:lineRule="auto"/>
        <w:rPr>
          <w:rFonts w:ascii="Arial"/>
          <w:sz w:val="21"/>
        </w:rPr>
      </w:pPr>
    </w:p>
    <w:p w14:paraId="6D007957">
      <w:pPr>
        <w:spacing w:line="299" w:lineRule="auto"/>
        <w:rPr>
          <w:rFonts w:ascii="Arial"/>
          <w:sz w:val="21"/>
        </w:rPr>
      </w:pPr>
    </w:p>
    <w:p w14:paraId="44EB2A3E">
      <w:pPr>
        <w:spacing w:line="300" w:lineRule="auto"/>
        <w:rPr>
          <w:rFonts w:ascii="Arial"/>
          <w:sz w:val="21"/>
        </w:rPr>
      </w:pPr>
    </w:p>
    <w:p w14:paraId="5F417F47">
      <w:pPr>
        <w:spacing w:line="300" w:lineRule="auto"/>
        <w:rPr>
          <w:rFonts w:ascii="Arial"/>
          <w:sz w:val="21"/>
        </w:rPr>
      </w:pPr>
    </w:p>
    <w:p w14:paraId="68FA2BE3">
      <w:pPr>
        <w:pStyle w:val="2"/>
        <w:spacing w:line="240" w:lineRule="auto"/>
        <w:ind w:left="0" w:right="0" w:firstLine="5796" w:firstLineChars="1800"/>
        <w:rPr>
          <w:spacing w:val="2"/>
        </w:rPr>
      </w:pPr>
      <w:r>
        <w:rPr>
          <w:spacing w:val="6"/>
        </w:rPr>
        <w:t>汉语言文化学院</w:t>
      </w:r>
      <w:r>
        <w:rPr>
          <w:spacing w:val="2"/>
        </w:rPr>
        <w:t xml:space="preserve"> </w:t>
      </w:r>
    </w:p>
    <w:p w14:paraId="415F796A">
      <w:pPr>
        <w:pStyle w:val="2"/>
        <w:spacing w:line="240" w:lineRule="auto"/>
        <w:ind w:left="0" w:right="0" w:firstLine="6204" w:firstLineChars="2200"/>
      </w:pPr>
      <w:r>
        <w:rPr>
          <w:rFonts w:hint="eastAsia"/>
          <w:spacing w:val="-14"/>
          <w:lang w:val="en-US" w:eastAsia="zh-CN"/>
        </w:rPr>
        <w:t>2025</w:t>
      </w:r>
      <w:r>
        <w:rPr>
          <w:spacing w:val="-14"/>
        </w:rPr>
        <w:t>年</w:t>
      </w:r>
      <w:r>
        <w:rPr>
          <w:rFonts w:hint="eastAsia"/>
          <w:spacing w:val="-14"/>
          <w:lang w:val="en-US" w:eastAsia="zh-CN"/>
        </w:rPr>
        <w:t>3</w:t>
      </w:r>
      <w:r>
        <w:rPr>
          <w:spacing w:val="-14"/>
        </w:rPr>
        <w:t>月</w:t>
      </w:r>
      <w:r>
        <w:rPr>
          <w:rFonts w:hint="eastAsia"/>
          <w:spacing w:val="-14"/>
          <w:lang w:val="en-US" w:eastAsia="zh-CN"/>
        </w:rPr>
        <w:t>6</w:t>
      </w:r>
      <w:r>
        <w:rPr>
          <w:spacing w:val="-14"/>
        </w:rPr>
        <w:t>日</w:t>
      </w:r>
    </w:p>
    <w:sectPr>
      <w:pgSz w:w="11906" w:h="16839"/>
      <w:pgMar w:top="1431" w:right="75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3C91E2B"/>
    <w:rsid w:val="4710374A"/>
    <w:rsid w:val="576D24F2"/>
    <w:rsid w:val="59DE4DF5"/>
    <w:rsid w:val="7AAB3F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639</Words>
  <Characters>673</Characters>
  <TotalTime>18</TotalTime>
  <ScaleCrop>false</ScaleCrop>
  <LinksUpToDate>false</LinksUpToDate>
  <CharactersWithSpaces>718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2025-03-05T11:29:00Z</dcterms:created>
  <dc:creator>Administrator</dc:creator>
  <cp:lastModifiedBy>孙伟</cp:lastModifiedBy>
  <dcterms:modified xsi:type="dcterms:W3CDTF">2025-03-06T07:20:08Z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2025-03-06T15:00:34Z</vt:filetime>
  </property>
  <property fmtid="{D5CDD505-2E9C-101B-9397-08002B2CF9AE}" pid="4" name="KSOTemplateDocerSaveRecord">
    <vt:lpwstr>eyJoZGlkIjoiMDllODA2MTg4NGM5NjQwZDgxNGM5NTFiYmZiZTQ1NzYiLCJ1c2VySWQiOiIzOTAyNzA3NTUifQ==</vt:lpwstr>
  </property>
  <property fmtid="{D5CDD505-2E9C-101B-9397-08002B2CF9AE}" pid="5" name="KSOProductBuildVer">
    <vt:lpwstr>2052-12.1.0.20305</vt:lpwstr>
  </property>
  <property fmtid="{D5CDD505-2E9C-101B-9397-08002B2CF9AE}" pid="6" name="ICV">
    <vt:lpwstr>8382A56A9CCC458EBA09B553DA6C4D05_12</vt:lpwstr>
  </property>
</Properties>
</file>