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jc w:val="left"/>
        <w:rPr>
          <w:rFonts w:ascii="Times New Roman" w:hAnsi="Times New Roman"/>
          <w:b/>
          <w:sz w:val="24"/>
          <w:szCs w:val="24"/>
        </w:rPr>
      </w:pPr>
      <w:bookmarkStart w:id="1" w:name="_GoBack"/>
      <w:r>
        <w:rPr>
          <w:rFonts w:hint="eastAsia" w:ascii="Times New Roman" w:hAnsi="Times New Roman"/>
          <w:b/>
          <w:sz w:val="24"/>
          <w:szCs w:val="24"/>
        </w:rPr>
        <w:t>党委统战部</w:t>
      </w:r>
      <w:bookmarkEnd w:id="1"/>
    </w:p>
    <w:tbl>
      <w:tblPr>
        <w:tblStyle w:val="2"/>
        <w:tblW w:w="8931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804"/>
        <w:gridCol w:w="1418"/>
      </w:tblGrid>
      <w:tr>
        <w:trPr>
          <w:trHeight w:val="46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归档范围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423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上级有关统战工作的文件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本校统战工作计划、总结、报告、决定、请示、批复、统计报表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统战部工作的规章制度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统战工作情况及理论政策的调查研究、典型材料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校各级人大代表、政协委员和担任上级民主党派组织领导人员名单（册）及审批材料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各民主党派成员和负责人名册及有关材料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各民主党派组织建设的重要文件材料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台、港、澳和侨务工作的有关材料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统战工作重大活动、重要会议材料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宗教、少数民族和党外知识分子工作的主要材料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党外代表人物的培养、选拔、推荐、安排等材料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统战工作工作简报、汇报材料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其它有归档利用价值的文件材料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91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重大活动、事件、重要会议等声像材料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</w:tbl>
    <w:p>
      <w:pPr>
        <w:widowControl/>
        <w:jc w:val="left"/>
        <w:rPr>
          <w:rFonts w:ascii="Times New Roman" w:hAnsi="Times New Roman"/>
          <w:sz w:val="24"/>
          <w:szCs w:val="24"/>
        </w:rPr>
      </w:pPr>
      <w:bookmarkStart w:id="0" w:name="_Toc464725596"/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F5897"/>
    <w:rsid w:val="5BDF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2024-04-26T10:07:00Z</dcterms:created>
  <dc:creator>Pluto.</dc:creator>
  <cp:lastModifiedBy>Pluto.</cp:lastModifiedBy>
  <dcterms:modified xsi:type="dcterms:W3CDTF">2024-04-26T10:07:56Z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F0AB39294B8A9B1B730C2B66ACF75B66_41</vt:lpwstr>
  </property>
</Properties>
</file>