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/>
        <w:jc w:val="left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hint="eastAsia" w:ascii="Times New Roman" w:hAnsi="Times New Roman"/>
          <w:b/>
          <w:sz w:val="24"/>
          <w:szCs w:val="24"/>
        </w:rPr>
        <w:t>党委教师工作部、教师发展中心</w:t>
      </w:r>
      <w:bookmarkEnd w:id="0"/>
    </w:p>
    <w:tbl>
      <w:tblPr>
        <w:tblStyle w:val="2"/>
        <w:tblW w:w="8931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661"/>
        <w:gridCol w:w="1419"/>
      </w:tblGrid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6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归档范 围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462" w:hRule="atLeast"/>
        </w:trPr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sz w:val="24"/>
                <w:szCs w:val="24"/>
              </w:rPr>
              <w:t>一、综合管理</w:t>
            </w:r>
          </w:p>
        </w:tc>
      </w:tr>
      <w:tr>
        <w:trPr>
          <w:trHeight w:val="50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上级有关教师思想政治工作、师德师风建设和教师发展的文件材料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长期</w:t>
            </w:r>
          </w:p>
        </w:tc>
      </w:tr>
      <w:tr>
        <w:trPr>
          <w:trHeight w:val="52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部门工作计划、总结、报告、请示、批复以及统计报表、汇报材料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部门工作规章制度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部门重要活动资料，重要会议文件材料、会议记录或纪要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获市级及以上奖励材料包括奖证、奖状、奖牌、奖章、奖杯等（影印件）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各类培训项目在实施整个周期中产生的重要材料（包括培训方案、学员名单、课程视频或教学课件等）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有关教师思政、师德师风和教师发展方面的研究成果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其它有归档利用价值的文件材料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永久</w:t>
            </w:r>
          </w:p>
        </w:tc>
      </w:tr>
    </w:tbl>
    <w:p>
      <w:pPr>
        <w:spacing w:after="100" w:afterAutospacing="1"/>
        <w:jc w:val="left"/>
        <w:rPr>
          <w:rFonts w:ascii="Times New Roman" w:hAnsi="Times New Roman"/>
          <w:b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449A"/>
    <w:rsid w:val="7F7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2024-04-26T10:09:00Z</dcterms:created>
  <dc:creator>Pluto.</dc:creator>
  <cp:lastModifiedBy>Pluto.</cp:lastModifiedBy>
  <dcterms:modified xsi:type="dcterms:W3CDTF">2024-04-26T10:10:11Z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95F204B20548644EF60C2B66A5A622EC_41</vt:lpwstr>
  </property>
</Properties>
</file>