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国家级一流课程情况</w:t>
      </w:r>
    </w:p>
    <w:tbl>
      <w:tblPr>
        <w:tblStyle w:val="4"/>
        <w:tblW w:w="1401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4650"/>
        <w:gridCol w:w="1410"/>
        <w:gridCol w:w="3015"/>
        <w:gridCol w:w="1260"/>
        <w:gridCol w:w="30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认定时间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肾组织活检标本病理诊断虚拟仿真实验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谭小月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虚拟仿真实验教学一流课程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中华诗教诗词吟诵虚拟仿真实验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涂俊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虚拟仿真实验教学一流课程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稀缺药用植物次生代谢物的虚拟合成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朱晔荣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虚拟仿真实验教学一流课程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中国政府与政治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朱光磊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周恩来政府管理学院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实验逻辑学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基本学术能力训练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</w:t>
            </w:r>
            <w:r>
              <w:rPr>
                <w:rFonts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物理科学学院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理论力学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刘玉斌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物理科学学院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网络技术与应用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张建忠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佟家栋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范小云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计算机组成原理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结构化学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孙宏伟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信号与系统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孙桂玲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电子信息与光学工程学院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微生物生理学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</w:t>
            </w:r>
            <w:r>
              <w:rPr>
                <w:rFonts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皎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中华国学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张荣明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水污染控制工程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鲁金凤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生态文明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杨光明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改变世界的化学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邱晓航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思想道德修养与法律基础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徐曼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拜占庭历史与文化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陈志强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环境化学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孙红文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思辨式英文写作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唐磊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临床样本病原微生物检测虚拟仿真实验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刘寅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虚拟仿真实验教学一流课程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垃圾焚烧发电资源化利用技术虚拟仿真实验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展思辉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虚拟仿真实验教学一流课程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健康导航与科学用药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张京玲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中国古典诗词中的品格与修养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中华国学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张荣明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生态文明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龚克、王利华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环境学基础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楚春礼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科研方法论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张伟刚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电子信息与光学工程学院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数学文化十讲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顾沛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2017年度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线上一流课程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17" w:bottom="1800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631C6"/>
    <w:rsid w:val="6E46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5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01"/>
    <w:basedOn w:val="5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2021-10-19T08:04:00Z</dcterms:created>
  <dc:creator>祝淑哲</dc:creator>
  <cp:lastModifiedBy>祝淑哲</cp:lastModifiedBy>
  <dcterms:modified xsi:type="dcterms:W3CDTF">2021-10-19T08:08:26Z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